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0C2EA">
      <w:pPr>
        <w:pStyle w:val="5"/>
        <w:spacing w:line="579" w:lineRule="exact"/>
        <w:jc w:val="center"/>
        <w:rPr>
          <w:rFonts w:hint="eastAsia" w:ascii="方正小标宋简体" w:hAnsi="方正小标宋简体" w:eastAsia="方正小标宋简体" w:cs="方正小标宋简体"/>
          <w:b w:val="0"/>
          <w:bCs/>
          <w:color w:val="FF0000"/>
          <w:sz w:val="44"/>
          <w:szCs w:val="44"/>
        </w:rPr>
      </w:pPr>
      <w:r>
        <w:rPr>
          <w:rFonts w:hint="eastAsia" w:ascii="方正小标宋简体" w:hAnsi="方正小标宋简体" w:eastAsia="方正小标宋简体" w:cs="方正小标宋简体"/>
          <w:b w:val="0"/>
          <w:bCs/>
          <w:color w:val="FF0000"/>
          <w:sz w:val="44"/>
          <w:szCs w:val="44"/>
        </w:rPr>
        <w:t>鄂尔多斯市“揭榜挂帅”项目</w:t>
      </w:r>
    </w:p>
    <w:p w14:paraId="51D0CCE7">
      <w:pPr>
        <w:pStyle w:val="5"/>
        <w:spacing w:line="579" w:lineRule="exact"/>
        <w:jc w:val="center"/>
        <w:rPr>
          <w:rFonts w:hint="eastAsia" w:ascii="方正小标宋简体" w:hAnsi="方正小标宋简体" w:eastAsia="方正小标宋简体" w:cs="方正小标宋简体"/>
          <w:b w:val="0"/>
          <w:bCs/>
          <w:color w:val="FF0000"/>
          <w:w w:val="95"/>
          <w:sz w:val="32"/>
          <w:szCs w:val="32"/>
        </w:rPr>
      </w:pPr>
      <w:r>
        <w:rPr>
          <w:rFonts w:hint="eastAsia" w:ascii="方正小标宋简体" w:hAnsi="方正小标宋简体" w:eastAsia="方正小标宋简体" w:cs="方正小标宋简体"/>
          <w:b w:val="0"/>
          <w:bCs/>
          <w:color w:val="FF0000"/>
          <w:w w:val="95"/>
          <w:sz w:val="32"/>
          <w:szCs w:val="32"/>
        </w:rPr>
        <w:t>沿黄河流域农田污染防治与资源高效利用关键技术研究与示范</w:t>
      </w:r>
    </w:p>
    <w:p w14:paraId="62C9EE17">
      <w:pPr>
        <w:pStyle w:val="5"/>
        <w:spacing w:line="579" w:lineRule="exact"/>
        <w:jc w:val="center"/>
        <w:rPr>
          <w:rFonts w:hint="eastAsia" w:ascii="方正小标宋简体" w:hAnsi="方正小标宋简体" w:eastAsia="方正小标宋简体" w:cs="方正小标宋简体"/>
          <w:b w:val="0"/>
          <w:bCs/>
          <w:color w:val="FF0000"/>
          <w:sz w:val="44"/>
          <w:szCs w:val="44"/>
        </w:rPr>
      </w:pPr>
      <w:r>
        <w:rPr>
          <w:rFonts w:hint="eastAsia" w:ascii="方正小标宋简体" w:hAnsi="方正小标宋简体" w:eastAsia="方正小标宋简体" w:cs="方正小标宋简体"/>
          <w:b w:val="0"/>
          <w:bCs/>
          <w:color w:val="FF0000"/>
          <w:sz w:val="44"/>
          <w:szCs w:val="44"/>
        </w:rPr>
        <w:t>工作简报</w:t>
      </w:r>
    </w:p>
    <w:p w14:paraId="75154149">
      <w:pPr>
        <w:pStyle w:val="5"/>
        <w:jc w:val="center"/>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第</w:t>
      </w:r>
      <w:r>
        <w:rPr>
          <w:rFonts w:hint="eastAsia" w:ascii="楷体_GB2312" w:hAnsi="楷体_GB2312" w:eastAsia="楷体_GB2312" w:cs="楷体_GB2312"/>
          <w:b w:val="0"/>
          <w:bCs/>
          <w:sz w:val="32"/>
          <w:szCs w:val="32"/>
          <w:lang w:val="en-US" w:eastAsia="zh-CN"/>
        </w:rPr>
        <w:t>15</w:t>
      </w:r>
      <w:r>
        <w:rPr>
          <w:rFonts w:hint="eastAsia" w:ascii="楷体_GB2312" w:hAnsi="楷体_GB2312" w:eastAsia="楷体_GB2312" w:cs="楷体_GB2312"/>
          <w:b w:val="0"/>
          <w:bCs/>
          <w:sz w:val="32"/>
          <w:szCs w:val="32"/>
        </w:rPr>
        <w:t>期</w:t>
      </w:r>
    </w:p>
    <w:p w14:paraId="26C3D442">
      <w:pPr>
        <w:pStyle w:val="5"/>
      </w:pPr>
      <w:r>
        <w:rPr>
          <w:rFonts w:hint="eastAsia" w:ascii="方正黑体_GBK" w:hAnsi="方正黑体_GBK" w:eastAsia="方正黑体_GBK" w:cs="方正黑体_GBK"/>
          <w:b w:val="0"/>
          <w:bCs/>
          <w:sz w:val="28"/>
          <w:szCs w:val="28"/>
        </w:rPr>
        <w:t xml:space="preserve">项目办公室                                </w:t>
      </w:r>
      <w:r>
        <w:rPr>
          <w:rFonts w:hint="eastAsia" w:ascii="方正黑体_GBK" w:hAnsi="方正黑体_GBK" w:eastAsia="方正黑体_GBK" w:cs="方正黑体_GBK"/>
          <w:b w:val="0"/>
          <w:bCs/>
          <w:color w:val="000000" w:themeColor="text1"/>
          <w:sz w:val="28"/>
          <w:szCs w:val="28"/>
          <w14:textFill>
            <w14:solidFill>
              <w14:schemeClr w14:val="tx1"/>
            </w14:solidFill>
          </w14:textFill>
        </w:rPr>
        <w:t xml:space="preserve"> 202</w:t>
      </w:r>
      <w:r>
        <w:rPr>
          <w:rFonts w:hint="eastAsia" w:ascii="方正黑体_GBK" w:hAnsi="方正黑体_GBK" w:eastAsia="方正黑体_GBK" w:cs="方正黑体_GBK"/>
          <w:b w:val="0"/>
          <w:bCs/>
          <w:color w:val="000000" w:themeColor="text1"/>
          <w:sz w:val="28"/>
          <w:szCs w:val="28"/>
          <w:lang w:val="en-US" w:eastAsia="zh-CN"/>
          <w14:textFill>
            <w14:solidFill>
              <w14:schemeClr w14:val="tx1"/>
            </w14:solidFill>
          </w14:textFill>
        </w:rPr>
        <w:t>4</w:t>
      </w:r>
      <w:r>
        <w:rPr>
          <w:rFonts w:hint="eastAsia" w:ascii="方正黑体_GBK" w:hAnsi="方正黑体_GBK" w:eastAsia="方正黑体_GBK" w:cs="方正黑体_GBK"/>
          <w:b w:val="0"/>
          <w:bCs/>
          <w:color w:val="000000" w:themeColor="text1"/>
          <w:sz w:val="28"/>
          <w:szCs w:val="28"/>
          <w14:textFill>
            <w14:solidFill>
              <w14:schemeClr w14:val="tx1"/>
            </w14:solidFill>
          </w14:textFill>
        </w:rPr>
        <w:t>年</w:t>
      </w:r>
      <w:r>
        <w:rPr>
          <w:rFonts w:hint="eastAsia" w:ascii="方正黑体_GBK" w:hAnsi="方正黑体_GBK" w:eastAsia="方正黑体_GBK" w:cs="方正黑体_GBK"/>
          <w:b w:val="0"/>
          <w:bCs/>
          <w:color w:val="000000" w:themeColor="text1"/>
          <w:sz w:val="28"/>
          <w:szCs w:val="28"/>
          <w:lang w:val="en-US" w:eastAsia="zh-CN"/>
          <w14:textFill>
            <w14:solidFill>
              <w14:schemeClr w14:val="tx1"/>
            </w14:solidFill>
          </w14:textFill>
        </w:rPr>
        <w:t>8</w:t>
      </w:r>
      <w:r>
        <w:rPr>
          <w:rFonts w:hint="eastAsia" w:ascii="方正黑体_GBK" w:hAnsi="方正黑体_GBK" w:eastAsia="方正黑体_GBK" w:cs="方正黑体_GBK"/>
          <w:b w:val="0"/>
          <w:bCs/>
          <w:color w:val="000000" w:themeColor="text1"/>
          <w:sz w:val="28"/>
          <w:szCs w:val="28"/>
          <w14:textFill>
            <w14:solidFill>
              <w14:schemeClr w14:val="tx1"/>
            </w14:solidFill>
          </w14:textFill>
        </w:rPr>
        <w:t>月</w:t>
      </w:r>
      <w:r>
        <w:rPr>
          <w:rFonts w:hint="eastAsia" w:ascii="方正黑体_GBK" w:hAnsi="方正黑体_GBK" w:eastAsia="方正黑体_GBK" w:cs="方正黑体_GBK"/>
          <w:b w:val="0"/>
          <w:bCs/>
          <w:color w:val="000000" w:themeColor="text1"/>
          <w:sz w:val="28"/>
          <w:szCs w:val="28"/>
          <w:lang w:val="en-US" w:eastAsia="zh-CN"/>
          <w14:textFill>
            <w14:solidFill>
              <w14:schemeClr w14:val="tx1"/>
            </w14:solidFill>
          </w14:textFill>
        </w:rPr>
        <w:t>10</w:t>
      </w:r>
      <w:r>
        <w:rPr>
          <w:rFonts w:hint="eastAsia" w:ascii="方正黑体_GBK" w:hAnsi="方正黑体_GBK" w:eastAsia="方正黑体_GBK" w:cs="方正黑体_GBK"/>
          <w:b w:val="0"/>
          <w:bCs/>
          <w:color w:val="000000" w:themeColor="text1"/>
          <w:sz w:val="28"/>
          <w:szCs w:val="28"/>
          <w14:textFill>
            <w14:solidFill>
              <w14:schemeClr w14:val="tx1"/>
            </w14:solidFill>
          </w14:textFill>
        </w:rPr>
        <w:t>日</w:t>
      </w:r>
    </w:p>
    <w:p w14:paraId="66885786">
      <w:r>
        <w:rPr>
          <w:rFonts w:ascii="Times New Roman" w:hAnsi="Times New Roman" w:eastAsia="楷体" w:cs="Times New Roman"/>
          <w:sz w:val="28"/>
          <w:szCs w:val="28"/>
        </w:rPr>
        <mc:AlternateContent>
          <mc:Choice Requires="wps">
            <w:drawing>
              <wp:anchor distT="0" distB="0" distL="114300" distR="114300" simplePos="0" relativeHeight="251659264" behindDoc="0" locked="0" layoutInCell="1" allowOverlap="1">
                <wp:simplePos x="0" y="0"/>
                <wp:positionH relativeFrom="column">
                  <wp:posOffset>-126365</wp:posOffset>
                </wp:positionH>
                <wp:positionV relativeFrom="paragraph">
                  <wp:posOffset>95885</wp:posOffset>
                </wp:positionV>
                <wp:extent cx="5304155" cy="0"/>
                <wp:effectExtent l="0" t="9525" r="10795" b="9525"/>
                <wp:wrapNone/>
                <wp:docPr id="2" name="直接连接符 2"/>
                <wp:cNvGraphicFramePr/>
                <a:graphic xmlns:a="http://schemas.openxmlformats.org/drawingml/2006/main">
                  <a:graphicData uri="http://schemas.microsoft.com/office/word/2010/wordprocessingShape">
                    <wps:wsp>
                      <wps:cNvCnPr/>
                      <wps:spPr>
                        <a:xfrm>
                          <a:off x="0" y="0"/>
                          <a:ext cx="530415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7.55pt;height:0pt;width:417.65pt;z-index:251659264;mso-width-relative:page;mso-height-relative:page;" filled="f" stroked="t" coordsize="21600,21600" o:gfxdata="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YqeeHUAAAA&#10;CQEAAA8AAAAAAAAAAQAgAAAAIgAAAGRycy9kb3ducmV2LnhtbFBLAQIUABQAAAAIAIdO4kCzEc/C&#10;6AEAALIDAAAOAAAAAAAAAAEAIAAAACMBAABkcnMvZTJvRG9jLnhtbFBLBQYAAAAABgAGAFkBAAB9&#10;BQAAAAA=&#10;">
                <v:fill on="f" focussize="0,0"/>
                <v:stroke weight="1.5pt" color="#FF0000 [3204]" miterlimit="8" joinstyle="miter"/>
                <v:imagedata o:title=""/>
                <o:lock v:ext="edit" aspectratio="f"/>
              </v:line>
            </w:pict>
          </mc:Fallback>
        </mc:AlternateContent>
      </w:r>
    </w:p>
    <w:p w14:paraId="5B731E68"/>
    <w:p w14:paraId="620D8F9B">
      <w:pPr>
        <w:jc w:val="left"/>
        <w:rPr>
          <w:rFonts w:ascii="Times New Roman" w:hAnsi="Times New Roman" w:eastAsia="黑体" w:cs="Times New Roman"/>
          <w:sz w:val="28"/>
          <w:szCs w:val="28"/>
        </w:rPr>
      </w:pPr>
      <w:r>
        <w:rPr>
          <w:rFonts w:ascii="Times New Roman" w:hAnsi="Times New Roman" w:eastAsia="黑体" w:cs="Times New Roman"/>
          <w:sz w:val="28"/>
          <w:szCs w:val="28"/>
        </w:rPr>
        <w:t>一、项目活动</w:t>
      </w:r>
      <w:bookmarkStart w:id="0" w:name="_Hlk100238884"/>
    </w:p>
    <w:bookmarkEnd w:id="0"/>
    <w:p w14:paraId="26C8A139">
      <w:pPr>
        <w:pStyle w:val="6"/>
        <w:ind w:firstLine="562"/>
        <w:jc w:val="center"/>
      </w:pPr>
      <w:r>
        <w:rPr>
          <w:rFonts w:ascii="Times New Roman" w:hAnsi="Times New Roman" w:eastAsia="楷体_GB2312" w:cs="Times New Roman"/>
          <w:b/>
          <w:sz w:val="28"/>
          <w:szCs w:val="28"/>
        </w:rPr>
        <w:t>“揭榜挂帅”项目</w:t>
      </w:r>
      <w:r>
        <w:rPr>
          <w:rFonts w:hint="eastAsia" w:ascii="Times New Roman" w:hAnsi="Times New Roman" w:eastAsia="楷体_GB2312" w:cs="Times New Roman"/>
          <w:b/>
          <w:sz w:val="28"/>
          <w:szCs w:val="28"/>
        </w:rPr>
        <w:t>组开展</w:t>
      </w:r>
      <w:r>
        <w:rPr>
          <w:rFonts w:ascii="Times New Roman" w:hAnsi="Times New Roman" w:eastAsia="楷体_GB2312" w:cs="Times New Roman"/>
          <w:b/>
          <w:sz w:val="28"/>
          <w:szCs w:val="28"/>
        </w:rPr>
        <w:t>农户技术培训</w:t>
      </w:r>
    </w:p>
    <w:p w14:paraId="02A8089F">
      <w:pPr>
        <w:pStyle w:val="6"/>
        <w:ind w:left="0" w:leftChars="0"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2024年7月</w:t>
      </w:r>
      <w:r>
        <w:rPr>
          <w:rFonts w:hint="eastAsia" w:ascii="Times New Roman" w:hAnsi="Times New Roman" w:eastAsia="仿宋_GB2312" w:cs="Times New Roman"/>
          <w:sz w:val="28"/>
          <w:szCs w:val="28"/>
        </w:rPr>
        <w:t>5日</w:t>
      </w:r>
      <w:r>
        <w:rPr>
          <w:rFonts w:ascii="Times New Roman" w:hAnsi="Times New Roman" w:eastAsia="仿宋_GB2312" w:cs="Times New Roman"/>
          <w:sz w:val="28"/>
          <w:szCs w:val="28"/>
        </w:rPr>
        <w:t>，鄂尔多斯市“揭榜挂帅”项目“沿黄河流域农田污染防治与资源高效利用关键技术研究与示范”项目</w:t>
      </w:r>
      <w:r>
        <w:rPr>
          <w:rFonts w:hint="eastAsia" w:ascii="Times New Roman" w:hAnsi="Times New Roman" w:eastAsia="仿宋_GB2312" w:cs="Times New Roman"/>
          <w:sz w:val="28"/>
          <w:szCs w:val="28"/>
        </w:rPr>
        <w:t>组骨干</w:t>
      </w:r>
      <w:r>
        <w:rPr>
          <w:rFonts w:ascii="Times New Roman" w:hAnsi="Times New Roman" w:eastAsia="仿宋_GB2312" w:cs="Times New Roman"/>
          <w:sz w:val="28"/>
          <w:szCs w:val="28"/>
        </w:rPr>
        <w:t>成员</w:t>
      </w:r>
      <w:r>
        <w:rPr>
          <w:rFonts w:hint="eastAsia" w:ascii="Times New Roman" w:hAnsi="Times New Roman" w:eastAsia="仿宋_GB2312" w:cs="Times New Roman"/>
          <w:sz w:val="28"/>
          <w:szCs w:val="28"/>
        </w:rPr>
        <w:t>张德建</w:t>
      </w:r>
      <w:r>
        <w:rPr>
          <w:rFonts w:ascii="Times New Roman" w:hAnsi="Times New Roman" w:eastAsia="仿宋_GB2312" w:cs="Times New Roman"/>
          <w:sz w:val="28"/>
          <w:szCs w:val="28"/>
        </w:rPr>
        <w:t>教授</w:t>
      </w:r>
      <w:r>
        <w:rPr>
          <w:rFonts w:hint="eastAsia" w:ascii="Times New Roman" w:hAnsi="Times New Roman" w:eastAsia="仿宋_GB2312" w:cs="Times New Roman"/>
          <w:sz w:val="28"/>
          <w:szCs w:val="28"/>
        </w:rPr>
        <w:t>参加达拉特旗农牧业技术推广中心组织</w:t>
      </w:r>
      <w:r>
        <w:rPr>
          <w:rFonts w:hint="eastAsia" w:ascii="Times New Roman" w:hAnsi="Times New Roman" w:eastAsia="仿宋_GB2312" w:cs="Times New Roman"/>
          <w:sz w:val="28"/>
          <w:szCs w:val="28"/>
          <w:lang w:val="en-US" w:eastAsia="zh-CN"/>
        </w:rPr>
        <w:t>的</w:t>
      </w:r>
      <w:r>
        <w:rPr>
          <w:rFonts w:hint="eastAsia" w:ascii="Times New Roman" w:hAnsi="Times New Roman" w:eastAsia="仿宋_GB2312" w:cs="Times New Roman"/>
          <w:sz w:val="28"/>
          <w:szCs w:val="28"/>
        </w:rPr>
        <w:t>粮食作物单产提升和种植技术示范推广现场观摩培训会</w:t>
      </w:r>
      <w:r>
        <w:rPr>
          <w:rFonts w:hint="eastAsia" w:ascii="Times New Roman" w:hAnsi="Times New Roman" w:eastAsia="仿宋_GB2312" w:cs="Times New Roman"/>
          <w:sz w:val="28"/>
          <w:szCs w:val="28"/>
          <w:lang w:val="en-US" w:eastAsia="zh-CN"/>
        </w:rPr>
        <w:t>。会上</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张德建</w:t>
      </w:r>
      <w:r>
        <w:rPr>
          <w:rFonts w:ascii="Times New Roman" w:hAnsi="Times New Roman" w:eastAsia="仿宋_GB2312" w:cs="Times New Roman"/>
          <w:sz w:val="28"/>
          <w:szCs w:val="28"/>
        </w:rPr>
        <w:t>教授对项目</w:t>
      </w:r>
      <w:r>
        <w:rPr>
          <w:rFonts w:hint="eastAsia" w:ascii="Times New Roman" w:hAnsi="Times New Roman" w:eastAsia="仿宋_GB2312" w:cs="Times New Roman"/>
          <w:sz w:val="28"/>
          <w:szCs w:val="28"/>
        </w:rPr>
        <w:t>研究</w:t>
      </w:r>
      <w:r>
        <w:rPr>
          <w:rFonts w:ascii="Times New Roman" w:hAnsi="Times New Roman" w:eastAsia="仿宋_GB2312" w:cs="Times New Roman"/>
          <w:sz w:val="28"/>
          <w:szCs w:val="28"/>
        </w:rPr>
        <w:t>的土壤改良与</w:t>
      </w:r>
      <w:r>
        <w:rPr>
          <w:rFonts w:hint="eastAsia" w:ascii="Times New Roman" w:hAnsi="Times New Roman" w:eastAsia="仿宋_GB2312" w:cs="Times New Roman"/>
          <w:sz w:val="28"/>
          <w:szCs w:val="28"/>
        </w:rPr>
        <w:t>作物增产</w:t>
      </w:r>
      <w:r>
        <w:rPr>
          <w:rFonts w:ascii="Times New Roman" w:hAnsi="Times New Roman" w:eastAsia="仿宋_GB2312" w:cs="Times New Roman"/>
          <w:sz w:val="28"/>
          <w:szCs w:val="28"/>
        </w:rPr>
        <w:t>的</w:t>
      </w:r>
      <w:r>
        <w:rPr>
          <w:rFonts w:hint="eastAsia" w:ascii="Times New Roman" w:hAnsi="Times New Roman" w:eastAsia="仿宋_GB2312" w:cs="Times New Roman"/>
          <w:sz w:val="28"/>
          <w:szCs w:val="28"/>
        </w:rPr>
        <w:t>关键技术</w:t>
      </w:r>
      <w:r>
        <w:rPr>
          <w:rFonts w:ascii="Times New Roman" w:hAnsi="Times New Roman" w:eastAsia="仿宋_GB2312" w:cs="Times New Roman"/>
          <w:sz w:val="28"/>
          <w:szCs w:val="28"/>
        </w:rPr>
        <w:t>与关键环节进行了详细的</w:t>
      </w:r>
      <w:r>
        <w:rPr>
          <w:rFonts w:hint="eastAsia" w:ascii="Times New Roman" w:hAnsi="Times New Roman" w:eastAsia="仿宋_GB2312" w:cs="Times New Roman"/>
          <w:sz w:val="28"/>
          <w:szCs w:val="28"/>
        </w:rPr>
        <w:t>介绍</w:t>
      </w:r>
      <w:r>
        <w:rPr>
          <w:rFonts w:ascii="Times New Roman" w:hAnsi="Times New Roman" w:eastAsia="仿宋_GB2312" w:cs="Times New Roman"/>
          <w:sz w:val="28"/>
          <w:szCs w:val="28"/>
        </w:rPr>
        <w:t>。</w:t>
      </w:r>
    </w:p>
    <w:p w14:paraId="22974795">
      <w:pPr>
        <w:spacing w:line="276" w:lineRule="auto"/>
        <w:jc w:val="center"/>
        <w:rPr>
          <w:rFonts w:ascii="Times New Roman" w:hAnsi="Times New Roman" w:eastAsia="楷体" w:cs="Times New Roman"/>
          <w:sz w:val="22"/>
        </w:rPr>
      </w:pPr>
      <w:r>
        <w:rPr>
          <w:rFonts w:ascii="Times New Roman" w:hAnsi="Times New Roman" w:eastAsia="楷体" w:cs="Times New Roman"/>
          <w:sz w:val="22"/>
        </w:rPr>
        <w:drawing>
          <wp:inline distT="0" distB="0" distL="0" distR="0">
            <wp:extent cx="2651760" cy="1584960"/>
            <wp:effectExtent l="0" t="0" r="1524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651760" cy="1584960"/>
                    </a:xfrm>
                    <a:prstGeom prst="rect">
                      <a:avLst/>
                    </a:prstGeom>
                    <a:noFill/>
                  </pic:spPr>
                </pic:pic>
              </a:graphicData>
            </a:graphic>
          </wp:inline>
        </w:drawing>
      </w:r>
      <w:r>
        <w:rPr>
          <w:rFonts w:hint="eastAsia" w:ascii="Times New Roman" w:hAnsi="Times New Roman" w:eastAsia="楷体" w:cs="Times New Roman"/>
          <w:sz w:val="22"/>
        </w:rPr>
        <w:t xml:space="preserve"> </w:t>
      </w:r>
      <w:r>
        <w:rPr>
          <w:rFonts w:ascii="Times New Roman" w:hAnsi="Times New Roman" w:eastAsia="楷体" w:cs="Times New Roman"/>
          <w:sz w:val="22"/>
        </w:rPr>
        <w:drawing>
          <wp:inline distT="0" distB="0" distL="0" distR="0">
            <wp:extent cx="2103120" cy="1609725"/>
            <wp:effectExtent l="0" t="0" r="1143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103120" cy="1609725"/>
                    </a:xfrm>
                    <a:prstGeom prst="rect">
                      <a:avLst/>
                    </a:prstGeom>
                    <a:noFill/>
                  </pic:spPr>
                </pic:pic>
              </a:graphicData>
            </a:graphic>
          </wp:inline>
        </w:drawing>
      </w:r>
      <w:bookmarkStart w:id="1" w:name="_GoBack"/>
      <w:bookmarkEnd w:id="1"/>
    </w:p>
    <w:p w14:paraId="6EDD6F86">
      <w:pPr>
        <w:spacing w:line="276" w:lineRule="auto"/>
        <w:jc w:val="center"/>
        <w:rPr>
          <w:rFonts w:ascii="Times New Roman" w:hAnsi="Times New Roman" w:eastAsia="楷体" w:cs="Times New Roman"/>
          <w:sz w:val="22"/>
        </w:rPr>
      </w:pPr>
      <w:r>
        <w:rPr>
          <w:rFonts w:hint="eastAsia" w:ascii="Times New Roman" w:hAnsi="Times New Roman" w:eastAsia="楷体" w:cs="Times New Roman"/>
          <w:sz w:val="22"/>
        </w:rPr>
        <w:t>培训会</w:t>
      </w:r>
      <w:r>
        <w:rPr>
          <w:rFonts w:ascii="Times New Roman" w:hAnsi="Times New Roman" w:eastAsia="楷体" w:cs="Times New Roman"/>
          <w:sz w:val="22"/>
        </w:rPr>
        <w:t>现场</w:t>
      </w:r>
    </w:p>
    <w:p w14:paraId="593F7349">
      <w:pPr>
        <w:pStyle w:val="6"/>
        <w:ind w:firstLine="560"/>
        <w:rPr>
          <w:rFonts w:hint="eastAsia" w:ascii="Times New Roman" w:hAnsi="Times New Roman" w:eastAsia="仿宋_GB2312" w:cs="Times New Roman"/>
          <w:sz w:val="28"/>
          <w:szCs w:val="28"/>
        </w:rPr>
      </w:pPr>
    </w:p>
    <w:p w14:paraId="75CEE576">
      <w:pPr>
        <w:widowControl/>
        <w:numPr>
          <w:ilvl w:val="0"/>
          <w:numId w:val="1"/>
        </w:numPr>
        <w:jc w:val="left"/>
        <w:rPr>
          <w:rFonts w:hint="eastAsia" w:ascii="Times New Roman" w:hAnsi="Times New Roman" w:eastAsia="黑体" w:cs="Times New Roman"/>
          <w:sz w:val="28"/>
          <w:szCs w:val="28"/>
          <w:lang w:val="en-US" w:eastAsia="zh-CN"/>
        </w:rPr>
      </w:pPr>
      <w:r>
        <w:rPr>
          <w:rFonts w:hint="eastAsia" w:ascii="Times New Roman" w:hAnsi="Times New Roman" w:eastAsia="黑体" w:cs="Times New Roman"/>
          <w:sz w:val="28"/>
          <w:szCs w:val="28"/>
          <w:lang w:val="en-US" w:eastAsia="zh-CN"/>
        </w:rPr>
        <w:t>重要进展</w:t>
      </w:r>
    </w:p>
    <w:p w14:paraId="6CD034B4">
      <w:pPr>
        <w:widowControl/>
        <w:ind w:firstLine="562" w:firstLineChars="200"/>
        <w:jc w:val="center"/>
        <w:rPr>
          <w:rFonts w:ascii="Times New Roman" w:hAnsi="Times New Roman" w:eastAsia="仿宋_GB2312" w:cs="Times New Roman"/>
          <w:b/>
          <w:sz w:val="28"/>
          <w:szCs w:val="28"/>
        </w:rPr>
      </w:pPr>
      <w:r>
        <w:rPr>
          <w:rFonts w:hint="eastAsia" w:ascii="Times New Roman" w:hAnsi="Times New Roman" w:eastAsia="楷体_GB2312" w:cs="Times New Roman"/>
          <w:b/>
          <w:sz w:val="28"/>
          <w:szCs w:val="28"/>
        </w:rPr>
        <w:t>初步构建了鄂尔多斯市人类活动净氮磷输入量估算模型</w:t>
      </w:r>
    </w:p>
    <w:p w14:paraId="62F94571">
      <w:pPr>
        <w:pStyle w:val="6"/>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t>项目组</w:t>
      </w:r>
      <w:r>
        <w:rPr>
          <w:rFonts w:hint="eastAsia" w:ascii="Times New Roman" w:hAnsi="Times New Roman" w:eastAsia="仿宋_GB2312" w:cs="Times New Roman"/>
          <w:sz w:val="28"/>
          <w:szCs w:val="28"/>
        </w:rPr>
        <w:t>在进一步收集数据的基础上，基于净氮净磷输入</w:t>
      </w:r>
      <w:r>
        <w:rPr>
          <w:rFonts w:ascii="Times New Roman" w:hAnsi="Times New Roman" w:eastAsia="仿宋_GB2312" w:cs="Times New Roman"/>
          <w:sz w:val="28"/>
          <w:szCs w:val="28"/>
        </w:rPr>
        <w:t>(NANI，NAPI)</w:t>
      </w:r>
      <w:r>
        <w:rPr>
          <w:rFonts w:hint="eastAsia" w:ascii="Times New Roman" w:hAnsi="Times New Roman" w:eastAsia="仿宋_GB2312" w:cs="Times New Roman"/>
          <w:sz w:val="28"/>
          <w:szCs w:val="28"/>
        </w:rPr>
        <w:t>的</w:t>
      </w:r>
      <w:r>
        <w:rPr>
          <w:rFonts w:ascii="Times New Roman" w:hAnsi="Times New Roman" w:eastAsia="仿宋_GB2312" w:cs="Times New Roman"/>
          <w:sz w:val="28"/>
          <w:szCs w:val="28"/>
        </w:rPr>
        <w:t>典型经验模型</w:t>
      </w:r>
      <w:r>
        <w:rPr>
          <w:rFonts w:hint="eastAsia" w:ascii="Times New Roman" w:hAnsi="Times New Roman" w:eastAsia="仿宋_GB2312" w:cs="Times New Roman"/>
          <w:sz w:val="28"/>
          <w:szCs w:val="28"/>
        </w:rPr>
        <w:t>，开发适宜于鄂尔多斯的人类活动净氮磷输入量估算模型，准确估算近年来鄂尔多斯</w:t>
      </w:r>
      <w:r>
        <w:rPr>
          <w:rFonts w:hint="eastAsia" w:ascii="Times New Roman" w:hAnsi="Times New Roman" w:eastAsia="仿宋_GB2312" w:cs="Times New Roman"/>
          <w:sz w:val="28"/>
          <w:szCs w:val="28"/>
          <w:lang w:val="en-US" w:eastAsia="zh-CN"/>
        </w:rPr>
        <w:t>市</w:t>
      </w:r>
      <w:r>
        <w:rPr>
          <w:rFonts w:hint="eastAsia" w:ascii="Times New Roman" w:hAnsi="Times New Roman" w:eastAsia="仿宋_GB2312" w:cs="Times New Roman"/>
          <w:sz w:val="28"/>
          <w:szCs w:val="28"/>
        </w:rPr>
        <w:t>人类活动净氮磷输入变化趋势。</w:t>
      </w:r>
    </w:p>
    <w:p w14:paraId="0FE9F53E">
      <w:pPr>
        <w:pStyle w:val="6"/>
        <w:ind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482215"/>
            <wp:effectExtent l="4445" t="4445" r="17145" b="889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D72024C">
      <w:pPr>
        <w:pStyle w:val="6"/>
        <w:jc w:val="center"/>
        <w:rPr>
          <w:rFonts w:ascii="Times New Roman" w:hAnsi="Times New Roman" w:eastAsia="楷体" w:cs="Times New Roman"/>
          <w:szCs w:val="21"/>
        </w:rPr>
      </w:pPr>
      <w:r>
        <w:rPr>
          <w:rFonts w:hint="eastAsia" w:ascii="Times New Roman" w:hAnsi="Times New Roman" w:eastAsia="楷体" w:cs="Times New Roman"/>
          <w:szCs w:val="21"/>
        </w:rPr>
        <w:t>鄂尔多斯市人类活动净氮输入量变化趋势</w:t>
      </w:r>
    </w:p>
    <w:p w14:paraId="39CEEEFB">
      <w:pPr>
        <w:pStyle w:val="6"/>
        <w:ind w:firstLine="560"/>
        <w:jc w:val="center"/>
        <w:rPr>
          <w:rFonts w:ascii="Times New Roman" w:hAnsi="Times New Roman" w:eastAsia="仿宋_GB2312" w:cs="Times New Roman"/>
          <w:sz w:val="28"/>
          <w:szCs w:val="28"/>
        </w:rPr>
      </w:pPr>
    </w:p>
    <w:p w14:paraId="52B2F710">
      <w:pPr>
        <w:pStyle w:val="6"/>
        <w:ind w:firstLine="56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5274310" cy="2903220"/>
            <wp:effectExtent l="0" t="0" r="2540" b="1143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6BCFF86">
      <w:pPr>
        <w:pStyle w:val="6"/>
        <w:jc w:val="center"/>
        <w:rPr>
          <w:rFonts w:ascii="Times New Roman" w:hAnsi="Times New Roman" w:eastAsia="楷体" w:cs="Times New Roman"/>
          <w:szCs w:val="21"/>
        </w:rPr>
      </w:pPr>
      <w:r>
        <w:rPr>
          <w:rFonts w:hint="eastAsia" w:ascii="Times New Roman" w:hAnsi="Times New Roman" w:eastAsia="楷体" w:cs="Times New Roman"/>
          <w:szCs w:val="21"/>
        </w:rPr>
        <w:t>鄂尔多斯市人类活动净磷输入量变化趋势</w:t>
      </w:r>
    </w:p>
    <w:p w14:paraId="0785482A">
      <w:pPr>
        <w:pStyle w:val="6"/>
        <w:jc w:val="center"/>
        <w:rPr>
          <w:rFonts w:ascii="Times New Roman" w:hAnsi="Times New Roman" w:eastAsia="楷体" w:cs="Times New Roman"/>
          <w:szCs w:val="21"/>
        </w:rPr>
      </w:pPr>
      <w:r>
        <w:rPr>
          <w:rFonts w:hint="eastAsia" w:ascii="Times New Roman" w:hAnsi="Times New Roman" w:eastAsia="黑体" w:cs="Times New Roman"/>
          <w:sz w:val="28"/>
          <w:szCs w:val="28"/>
          <w:lang w:val="en-US" w:eastAsia="zh-CN"/>
        </w:rPr>
        <w:t xml:space="preserve"> </w:t>
      </w:r>
      <w:r>
        <w:rPr>
          <w:rFonts w:hint="eastAsia" w:ascii="Times New Roman" w:hAnsi="Times New Roman" w:eastAsia="楷体" w:cs="Times New Roman"/>
          <w:szCs w:val="21"/>
        </w:rPr>
        <w:t>鄂尔多斯市人类活动净磷输入量变化趋势</w:t>
      </w:r>
    </w:p>
    <w:p w14:paraId="25BDCF66">
      <w:pPr>
        <w:widowControl/>
        <w:jc w:val="left"/>
        <w:rPr>
          <w:rFonts w:ascii="Times New Roman" w:hAnsi="Times New Roman" w:eastAsia="黑体" w:cs="Times New Roman"/>
          <w:sz w:val="28"/>
          <w:szCs w:val="28"/>
        </w:rPr>
      </w:pPr>
      <w:r>
        <w:rPr>
          <w:rFonts w:ascii="Times New Roman" w:hAnsi="Times New Roman" w:eastAsia="黑体" w:cs="Times New Roman"/>
          <w:sz w:val="28"/>
          <w:szCs w:val="28"/>
        </w:rPr>
        <w:t>三、方案落实</w:t>
      </w:r>
    </w:p>
    <w:p w14:paraId="7DFD8A51">
      <w:pPr>
        <w:widowControl/>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全面开展</w:t>
      </w:r>
      <w:r>
        <w:rPr>
          <w:rFonts w:ascii="Times New Roman" w:hAnsi="Times New Roman" w:eastAsia="仿宋_GB2312" w:cs="Times New Roman"/>
          <w:b/>
          <w:sz w:val="28"/>
          <w:szCs w:val="28"/>
        </w:rPr>
        <w:t>各项关键技术田间试验与示范</w:t>
      </w:r>
      <w:r>
        <w:rPr>
          <w:rFonts w:hint="eastAsia" w:ascii="Times New Roman" w:hAnsi="Times New Roman" w:eastAsia="仿宋_GB2312" w:cs="Times New Roman"/>
          <w:b/>
          <w:sz w:val="28"/>
          <w:szCs w:val="28"/>
        </w:rPr>
        <w:t>的作物生长</w:t>
      </w:r>
      <w:r>
        <w:rPr>
          <w:rFonts w:hint="eastAsia" w:ascii="Times New Roman" w:hAnsi="Times New Roman" w:eastAsia="仿宋_GB2312" w:cs="Times New Roman"/>
          <w:b/>
          <w:sz w:val="28"/>
          <w:szCs w:val="28"/>
          <w:lang w:val="en-US" w:eastAsia="zh-CN"/>
        </w:rPr>
        <w:t>监测</w:t>
      </w:r>
      <w:r>
        <w:rPr>
          <w:rFonts w:hint="eastAsia" w:ascii="Times New Roman" w:hAnsi="Times New Roman" w:eastAsia="仿宋_GB2312" w:cs="Times New Roman"/>
          <w:b/>
          <w:sz w:val="28"/>
          <w:szCs w:val="28"/>
        </w:rPr>
        <w:t>与土壤采集</w:t>
      </w:r>
      <w:r>
        <w:rPr>
          <w:rFonts w:ascii="Times New Roman" w:hAnsi="Times New Roman" w:eastAsia="仿宋_GB2312" w:cs="Times New Roman"/>
          <w:b/>
          <w:sz w:val="28"/>
          <w:szCs w:val="28"/>
        </w:rPr>
        <w:t>工作</w:t>
      </w:r>
    </w:p>
    <w:p w14:paraId="5DB5AE4A">
      <w:pPr>
        <w:widowControl/>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2024年7月，</w:t>
      </w:r>
      <w:r>
        <w:rPr>
          <w:rFonts w:hint="eastAsia" w:ascii="Times New Roman" w:hAnsi="Times New Roman" w:eastAsia="仿宋_GB2312" w:cs="Times New Roman"/>
          <w:sz w:val="28"/>
          <w:szCs w:val="28"/>
          <w:lang w:val="en-US" w:eastAsia="zh-CN"/>
        </w:rPr>
        <w:t>各课题组</w:t>
      </w:r>
      <w:r>
        <w:rPr>
          <w:rFonts w:ascii="Times New Roman" w:hAnsi="Times New Roman" w:eastAsia="仿宋_GB2312" w:cs="Times New Roman"/>
          <w:sz w:val="28"/>
          <w:szCs w:val="28"/>
        </w:rPr>
        <w:t>根据</w:t>
      </w:r>
      <w:r>
        <w:rPr>
          <w:rFonts w:hint="eastAsia" w:ascii="Times New Roman" w:hAnsi="Times New Roman" w:eastAsia="仿宋_GB2312" w:cs="Times New Roman"/>
          <w:sz w:val="28"/>
          <w:szCs w:val="28"/>
          <w:lang w:val="en-US" w:eastAsia="zh-CN"/>
        </w:rPr>
        <w:t>项目</w:t>
      </w:r>
      <w:r>
        <w:rPr>
          <w:rFonts w:ascii="Times New Roman" w:hAnsi="Times New Roman" w:eastAsia="仿宋_GB2312" w:cs="Times New Roman"/>
          <w:sz w:val="28"/>
          <w:szCs w:val="28"/>
        </w:rPr>
        <w:t>任务书年度进展</w:t>
      </w:r>
      <w:r>
        <w:rPr>
          <w:rFonts w:hint="eastAsia" w:ascii="Times New Roman" w:hAnsi="Times New Roman" w:eastAsia="仿宋_GB2312" w:cs="Times New Roman"/>
          <w:sz w:val="28"/>
          <w:szCs w:val="28"/>
          <w:lang w:val="en-US" w:eastAsia="zh-CN"/>
        </w:rPr>
        <w:t>要求</w:t>
      </w:r>
      <w:r>
        <w:rPr>
          <w:rFonts w:ascii="Times New Roman" w:hAnsi="Times New Roman" w:eastAsia="仿宋_GB2312" w:cs="Times New Roman"/>
          <w:sz w:val="28"/>
          <w:szCs w:val="28"/>
        </w:rPr>
        <w:t>全面开展本年度田间试验与示范的</w:t>
      </w:r>
      <w:r>
        <w:rPr>
          <w:rFonts w:hint="eastAsia" w:ascii="Times New Roman" w:hAnsi="Times New Roman" w:eastAsia="仿宋_GB2312" w:cs="Times New Roman"/>
          <w:sz w:val="28"/>
          <w:szCs w:val="28"/>
        </w:rPr>
        <w:t>布置</w:t>
      </w:r>
      <w:r>
        <w:rPr>
          <w:rFonts w:ascii="Times New Roman" w:hAnsi="Times New Roman" w:eastAsia="仿宋_GB2312" w:cs="Times New Roman"/>
          <w:sz w:val="28"/>
          <w:szCs w:val="28"/>
        </w:rPr>
        <w:t>与监测工作。</w:t>
      </w:r>
    </w:p>
    <w:p w14:paraId="3197663E">
      <w:pPr>
        <w:widowControl/>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课题1内蒙古农业大学与中国农科院资源农业区划所</w:t>
      </w:r>
      <w:r>
        <w:rPr>
          <w:rFonts w:hint="eastAsia" w:ascii="Times New Roman" w:hAnsi="Times New Roman" w:eastAsia="仿宋_GB2312" w:cs="Times New Roman"/>
          <w:sz w:val="28"/>
          <w:szCs w:val="28"/>
          <w:lang w:val="en-US" w:eastAsia="zh-CN"/>
        </w:rPr>
        <w:t>团队</w:t>
      </w:r>
      <w:r>
        <w:rPr>
          <w:rFonts w:ascii="Times New Roman" w:hAnsi="Times New Roman" w:eastAsia="仿宋_GB2312" w:cs="Times New Roman"/>
          <w:sz w:val="28"/>
          <w:szCs w:val="28"/>
        </w:rPr>
        <w:t>就</w:t>
      </w:r>
      <w:r>
        <w:rPr>
          <w:rFonts w:hint="eastAsia" w:ascii="仿宋_GB2312" w:hAnsi="仿宋_GB2312" w:eastAsia="仿宋_GB2312" w:cs="仿宋_GB2312"/>
          <w:sz w:val="28"/>
          <w:szCs w:val="28"/>
        </w:rPr>
        <w:t>农田面源污染空间分布特征、农田生态系统健康评价方法体系进一步的研讨，初步构建了基于人类活动净氮磷输入量估算模型，为进一步准确估算农田面源污染空间分布特征、解析驱动因素提供基础，为优化农田生态系统健康评价指标提供了数据支撑</w:t>
      </w:r>
      <w:r>
        <w:rPr>
          <w:rFonts w:ascii="Times New Roman" w:hAnsi="Times New Roman" w:eastAsia="仿宋_GB2312" w:cs="Times New Roman"/>
          <w:sz w:val="28"/>
          <w:szCs w:val="28"/>
        </w:rPr>
        <w:t>。</w:t>
      </w:r>
    </w:p>
    <w:p w14:paraId="3C1D9543">
      <w:pPr>
        <w:widowControl/>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课题2内蒙古农业大学团队</w:t>
      </w:r>
      <w:r>
        <w:rPr>
          <w:rFonts w:hint="eastAsia" w:ascii="Times New Roman" w:hAnsi="Times New Roman" w:eastAsia="仿宋_GB2312" w:cs="Times New Roman"/>
          <w:sz w:val="28"/>
          <w:szCs w:val="28"/>
        </w:rPr>
        <w:t>赴</w:t>
      </w:r>
      <w:r>
        <w:rPr>
          <w:rFonts w:ascii="Times New Roman" w:hAnsi="Times New Roman" w:eastAsia="仿宋_GB2312" w:cs="Times New Roman"/>
          <w:sz w:val="28"/>
          <w:szCs w:val="28"/>
        </w:rPr>
        <w:t>项目</w:t>
      </w:r>
      <w:r>
        <w:rPr>
          <w:rFonts w:hint="eastAsia" w:ascii="Times New Roman" w:hAnsi="Times New Roman" w:eastAsia="仿宋_GB2312" w:cs="Times New Roman"/>
          <w:sz w:val="28"/>
          <w:szCs w:val="28"/>
        </w:rPr>
        <w:t>实施地采集大喇叭口期所需土壤和玉米植株样，采集的土壤样品主要用于测定土壤理化特性、酶学特性及微生物多样性等；并对秸秆过腹还田、秸秆翻埋还田等处理地块的地温、玉米叶片</w:t>
      </w:r>
      <w:r>
        <w:rPr>
          <w:rFonts w:ascii="Times New Roman" w:hAnsi="Times New Roman" w:eastAsia="仿宋_GB2312" w:cs="Times New Roman"/>
          <w:sz w:val="28"/>
          <w:szCs w:val="28"/>
        </w:rPr>
        <w:t>SPAD值以及玉米大喇叭口期光合数据进行测量。</w:t>
      </w:r>
    </w:p>
    <w:p w14:paraId="3B7B7E2E">
      <w:pPr>
        <w:widowControl/>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课题3华中农业大学团队在</w:t>
      </w:r>
      <w:r>
        <w:rPr>
          <w:rFonts w:hint="eastAsia" w:ascii="Times New Roman" w:hAnsi="Times New Roman" w:eastAsia="仿宋_GB2312" w:cs="Times New Roman"/>
          <w:sz w:val="28"/>
          <w:szCs w:val="28"/>
        </w:rPr>
        <w:t>项目试验示范区</w:t>
      </w:r>
      <w:r>
        <w:rPr>
          <w:rFonts w:hint="eastAsia" w:ascii="仿宋_GB2312" w:hAnsi="仿宋_GB2312" w:eastAsia="仿宋_GB2312" w:cs="仿宋_GB2312"/>
          <w:sz w:val="28"/>
          <w:szCs w:val="28"/>
        </w:rPr>
        <w:t>完成了玉米与</w:t>
      </w:r>
      <w:r>
        <w:rPr>
          <w:rFonts w:ascii="仿宋_GB2312" w:hAnsi="仿宋_GB2312" w:eastAsia="仿宋_GB2312" w:cs="仿宋_GB2312"/>
          <w:sz w:val="28"/>
          <w:szCs w:val="28"/>
        </w:rPr>
        <w:t>向日葵</w:t>
      </w:r>
      <w:r>
        <w:rPr>
          <w:rFonts w:hint="eastAsia" w:ascii="仿宋_GB2312" w:hAnsi="仿宋_GB2312" w:eastAsia="仿宋_GB2312" w:cs="仿宋_GB2312"/>
          <w:sz w:val="28"/>
          <w:szCs w:val="28"/>
        </w:rPr>
        <w:t>化肥施用技术研究、施用有机肥情况下玉米化学氮肥减施潜力研究及玉米化肥减施增效技术示范等</w:t>
      </w:r>
      <w:r>
        <w:rPr>
          <w:rFonts w:ascii="仿宋_GB2312" w:hAnsi="仿宋_GB2312" w:eastAsia="仿宋_GB2312" w:cs="仿宋_GB2312"/>
          <w:sz w:val="28"/>
          <w:szCs w:val="28"/>
        </w:rPr>
        <w:t>8</w:t>
      </w:r>
      <w:r>
        <w:rPr>
          <w:rFonts w:hint="eastAsia" w:ascii="仿宋_GB2312" w:hAnsi="仿宋_GB2312" w:eastAsia="仿宋_GB2312" w:cs="仿宋_GB2312"/>
          <w:sz w:val="28"/>
          <w:szCs w:val="28"/>
        </w:rPr>
        <w:t>个田间试验和示范的追肥工作</w:t>
      </w:r>
      <w:r>
        <w:rPr>
          <w:rFonts w:ascii="Times New Roman" w:hAnsi="Times New Roman" w:eastAsia="仿宋_GB2312" w:cs="Times New Roman"/>
          <w:sz w:val="28"/>
          <w:szCs w:val="28"/>
        </w:rPr>
        <w:t>。</w:t>
      </w:r>
    </w:p>
    <w:p w14:paraId="6A3F2AF4">
      <w:pPr>
        <w:widowControl/>
        <w:spacing w:line="360" w:lineRule="auto"/>
        <w:ind w:firstLine="560" w:firstLineChars="200"/>
        <w:rPr>
          <w:rFonts w:ascii="仿宋" w:hAnsi="仿宋" w:eastAsia="仿宋"/>
          <w:sz w:val="28"/>
          <w:szCs w:val="28"/>
        </w:rPr>
      </w:pPr>
      <w:r>
        <w:rPr>
          <w:rFonts w:ascii="Times New Roman" w:hAnsi="Times New Roman" w:eastAsia="仿宋_GB2312" w:cs="Times New Roman"/>
          <w:sz w:val="28"/>
          <w:szCs w:val="28"/>
        </w:rPr>
        <w:t>课题4中国农科院资源区划团队于达拉特旗树林召镇</w:t>
      </w:r>
      <w:r>
        <w:rPr>
          <w:rFonts w:hint="eastAsia" w:ascii="Times New Roman" w:hAnsi="Times New Roman" w:eastAsia="仿宋_GB2312" w:cs="Times New Roman"/>
          <w:sz w:val="28"/>
          <w:szCs w:val="28"/>
        </w:rPr>
        <w:t>和王爱召</w:t>
      </w:r>
      <w:r>
        <w:rPr>
          <w:rFonts w:ascii="Times New Roman" w:hAnsi="Times New Roman" w:eastAsia="仿宋_GB2312" w:cs="Times New Roman"/>
          <w:sz w:val="28"/>
          <w:szCs w:val="28"/>
        </w:rPr>
        <w:t>镇试验地</w:t>
      </w:r>
      <w:r>
        <w:rPr>
          <w:rFonts w:hint="eastAsia" w:ascii="Times New Roman" w:hAnsi="Times New Roman" w:eastAsia="仿宋_GB2312" w:cs="Times New Roman"/>
          <w:sz w:val="28"/>
          <w:szCs w:val="28"/>
        </w:rPr>
        <w:t>监测</w:t>
      </w:r>
      <w:r>
        <w:rPr>
          <w:rFonts w:ascii="Times New Roman" w:hAnsi="Times New Roman" w:eastAsia="仿宋_GB2312" w:cs="Times New Roman"/>
          <w:sz w:val="28"/>
          <w:szCs w:val="28"/>
        </w:rPr>
        <w:t>了向日葵与玉米生育时期的</w:t>
      </w:r>
      <w:r>
        <w:rPr>
          <w:rFonts w:hint="eastAsia" w:ascii="Times New Roman" w:hAnsi="Times New Roman" w:eastAsia="仿宋_GB2312" w:cs="Times New Roman"/>
          <w:sz w:val="28"/>
          <w:szCs w:val="28"/>
        </w:rPr>
        <w:t>地上部</w:t>
      </w:r>
      <w:r>
        <w:rPr>
          <w:rFonts w:ascii="Times New Roman" w:hAnsi="Times New Roman" w:eastAsia="仿宋_GB2312" w:cs="Times New Roman"/>
          <w:sz w:val="28"/>
          <w:szCs w:val="28"/>
        </w:rPr>
        <w:t>作物指标</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并采集了</w:t>
      </w:r>
      <w:r>
        <w:rPr>
          <w:rFonts w:hint="eastAsia" w:ascii="Times New Roman" w:hAnsi="Times New Roman" w:eastAsia="仿宋_GB2312" w:cs="Times New Roman"/>
          <w:sz w:val="28"/>
          <w:szCs w:val="28"/>
        </w:rPr>
        <w:t>土壤样品</w:t>
      </w:r>
      <w:r>
        <w:rPr>
          <w:rFonts w:ascii="Times New Roman" w:hAnsi="Times New Roman" w:eastAsia="仿宋_GB2312" w:cs="Times New Roman"/>
          <w:sz w:val="28"/>
          <w:szCs w:val="28"/>
        </w:rPr>
        <w:t>，进行盐分、pH值</w:t>
      </w:r>
      <w:r>
        <w:rPr>
          <w:rFonts w:hint="eastAsia" w:ascii="Times New Roman" w:hAnsi="Times New Roman" w:eastAsia="仿宋_GB2312" w:cs="Times New Roman"/>
          <w:sz w:val="28"/>
          <w:szCs w:val="28"/>
        </w:rPr>
        <w:t>等动态指标</w:t>
      </w:r>
      <w:r>
        <w:rPr>
          <w:rFonts w:ascii="Times New Roman" w:hAnsi="Times New Roman" w:eastAsia="仿宋_GB2312" w:cs="Times New Roman"/>
          <w:sz w:val="28"/>
          <w:szCs w:val="28"/>
        </w:rPr>
        <w:t>化验。</w:t>
      </w:r>
    </w:p>
    <w:p w14:paraId="3D2A5FC3">
      <w:pPr>
        <w:spacing w:line="300"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2309495" cy="1711960"/>
            <wp:effectExtent l="0" t="0" r="1460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30205" cy="1727512"/>
                    </a:xfrm>
                    <a:prstGeom prst="rect">
                      <a:avLst/>
                    </a:prstGeom>
                    <a:noFill/>
                  </pic:spPr>
                </pic:pic>
              </a:graphicData>
            </a:graphic>
          </wp:inline>
        </w:drawing>
      </w:r>
      <w:r>
        <w:rPr>
          <w:rFonts w:ascii="Times New Roman" w:hAnsi="Times New Roman" w:eastAsia="仿宋_GB2312" w:cs="Times New Roman"/>
          <w:sz w:val="28"/>
          <w:szCs w:val="28"/>
        </w:rPr>
        <w:t xml:space="preserve"> </w:t>
      </w:r>
      <w:r>
        <w:rPr>
          <w:rFonts w:ascii="Times New Roman" w:hAnsi="Times New Roman" w:eastAsia="仿宋_GB2312" w:cs="Times New Roman"/>
          <w:sz w:val="28"/>
          <w:szCs w:val="28"/>
        </w:rPr>
        <w:drawing>
          <wp:inline distT="0" distB="0" distL="0" distR="0">
            <wp:extent cx="2308225" cy="1708150"/>
            <wp:effectExtent l="0" t="0" r="1587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329102" cy="1723717"/>
                    </a:xfrm>
                    <a:prstGeom prst="rect">
                      <a:avLst/>
                    </a:prstGeom>
                    <a:noFill/>
                  </pic:spPr>
                </pic:pic>
              </a:graphicData>
            </a:graphic>
          </wp:inline>
        </w:drawing>
      </w:r>
    </w:p>
    <w:p w14:paraId="7D76CC03">
      <w:pPr>
        <w:spacing w:line="300" w:lineRule="auto"/>
        <w:ind w:firstLine="367" w:firstLineChars="175"/>
        <w:jc w:val="center"/>
        <w:rPr>
          <w:rFonts w:ascii="Times New Roman" w:hAnsi="Times New Roman" w:eastAsia="楷体" w:cs="Times New Roman"/>
          <w:szCs w:val="21"/>
        </w:rPr>
      </w:pPr>
      <w:r>
        <w:rPr>
          <w:rFonts w:ascii="Times New Roman" w:hAnsi="Times New Roman" w:eastAsia="楷体" w:cs="Times New Roman"/>
          <w:szCs w:val="21"/>
        </w:rPr>
        <w:t>课题2秸秆还田与合理利用关键技术田间</w:t>
      </w:r>
      <w:r>
        <w:rPr>
          <w:rFonts w:hint="eastAsia" w:ascii="Times New Roman" w:hAnsi="Times New Roman" w:eastAsia="楷体" w:cs="Times New Roman"/>
          <w:szCs w:val="21"/>
        </w:rPr>
        <w:t>样品采集</w:t>
      </w:r>
      <w:r>
        <w:rPr>
          <w:rFonts w:ascii="Times New Roman" w:hAnsi="Times New Roman" w:eastAsia="楷体" w:cs="Times New Roman"/>
          <w:szCs w:val="21"/>
        </w:rPr>
        <w:t>与</w:t>
      </w:r>
      <w:r>
        <w:rPr>
          <w:rFonts w:hint="eastAsia" w:ascii="Times New Roman" w:hAnsi="Times New Roman" w:eastAsia="楷体" w:cs="Times New Roman"/>
          <w:szCs w:val="21"/>
        </w:rPr>
        <w:t>玉米生长</w:t>
      </w:r>
      <w:r>
        <w:rPr>
          <w:rFonts w:ascii="Times New Roman" w:hAnsi="Times New Roman" w:eastAsia="楷体" w:cs="Times New Roman"/>
          <w:szCs w:val="21"/>
        </w:rPr>
        <w:t>情况</w:t>
      </w:r>
    </w:p>
    <w:p w14:paraId="3570EA20">
      <w:pPr>
        <w:spacing w:line="300" w:lineRule="auto"/>
        <w:jc w:val="center"/>
        <w:rPr>
          <w:rFonts w:ascii="Times New Roman" w:hAnsi="Times New Roman" w:eastAsia="楷体" w:cs="Times New Roman"/>
          <w:szCs w:val="21"/>
        </w:rPr>
      </w:pPr>
      <w:r>
        <w:rPr>
          <w:rFonts w:ascii="Times New Roman" w:hAnsi="Times New Roman" w:eastAsia="楷体" w:cs="Times New Roman"/>
          <w:szCs w:val="21"/>
        </w:rPr>
        <w:drawing>
          <wp:inline distT="0" distB="0" distL="0" distR="0">
            <wp:extent cx="2365375" cy="1823085"/>
            <wp:effectExtent l="0" t="0" r="158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65375" cy="1823085"/>
                    </a:xfrm>
                    <a:prstGeom prst="rect">
                      <a:avLst/>
                    </a:prstGeom>
                    <a:noFill/>
                  </pic:spPr>
                </pic:pic>
              </a:graphicData>
            </a:graphic>
          </wp:inline>
        </w:drawing>
      </w:r>
      <w:r>
        <w:rPr>
          <w:rFonts w:ascii="Times New Roman" w:hAnsi="Times New Roman" w:eastAsia="楷体" w:cs="Times New Roman"/>
          <w:szCs w:val="21"/>
        </w:rPr>
        <w:drawing>
          <wp:inline distT="0" distB="0" distL="0" distR="0">
            <wp:extent cx="2365375" cy="1823085"/>
            <wp:effectExtent l="0" t="0" r="158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65375" cy="1823085"/>
                    </a:xfrm>
                    <a:prstGeom prst="rect">
                      <a:avLst/>
                    </a:prstGeom>
                    <a:noFill/>
                  </pic:spPr>
                </pic:pic>
              </a:graphicData>
            </a:graphic>
          </wp:inline>
        </w:drawing>
      </w:r>
      <w:r>
        <w:rPr>
          <w:rFonts w:ascii="Times New Roman" w:hAnsi="Times New Roman" w:eastAsia="楷体" w:cs="Times New Roman"/>
          <w:szCs w:val="21"/>
        </w:rPr>
        <w:t xml:space="preserve">  </w:t>
      </w:r>
    </w:p>
    <w:p w14:paraId="7C12283B">
      <w:pPr>
        <w:spacing w:line="300" w:lineRule="auto"/>
        <w:ind w:firstLine="367" w:firstLineChars="175"/>
        <w:jc w:val="center"/>
        <w:rPr>
          <w:rFonts w:ascii="Times New Roman" w:hAnsi="Times New Roman" w:eastAsia="楷体" w:cs="Times New Roman"/>
          <w:szCs w:val="21"/>
        </w:rPr>
      </w:pPr>
      <w:r>
        <w:rPr>
          <w:rFonts w:ascii="Times New Roman" w:hAnsi="Times New Roman" w:eastAsia="楷体" w:cs="Times New Roman"/>
          <w:szCs w:val="21"/>
        </w:rPr>
        <w:t>课题3化肥减施与高效利用关键技术田间试验</w:t>
      </w:r>
      <w:r>
        <w:rPr>
          <w:rFonts w:hint="eastAsia" w:ascii="Times New Roman" w:hAnsi="Times New Roman" w:eastAsia="楷体" w:cs="Times New Roman"/>
          <w:szCs w:val="21"/>
        </w:rPr>
        <w:t>化肥追施</w:t>
      </w:r>
    </w:p>
    <w:p w14:paraId="39488E4A">
      <w:pPr>
        <w:spacing w:before="156" w:beforeLines="50" w:line="360" w:lineRule="auto"/>
        <w:jc w:val="center"/>
        <w:rPr>
          <w:rFonts w:ascii="Times New Roman" w:hAnsi="Times New Roman" w:cs="Times New Roman"/>
        </w:rPr>
      </w:pPr>
      <w:r>
        <w:rPr>
          <w:rFonts w:ascii="Times New Roman" w:hAnsi="Times New Roman" w:cs="Times New Roman"/>
        </w:rPr>
        <w:drawing>
          <wp:inline distT="0" distB="0" distL="0" distR="0">
            <wp:extent cx="2451100" cy="1840865"/>
            <wp:effectExtent l="0" t="0" r="635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451100" cy="1840865"/>
                    </a:xfrm>
                    <a:prstGeom prst="rect">
                      <a:avLst/>
                    </a:prstGeom>
                    <a:noFill/>
                  </pic:spPr>
                </pic:pic>
              </a:graphicData>
            </a:graphic>
          </wp:inline>
        </w:drawing>
      </w:r>
      <w:r>
        <w:rPr>
          <w:rFonts w:ascii="Times New Roman" w:hAnsi="Times New Roman" w:cs="Times New Roman"/>
        </w:rPr>
        <w:t xml:space="preserve"> </w:t>
      </w:r>
      <w:r>
        <w:drawing>
          <wp:inline distT="0" distB="0" distL="0" distR="0">
            <wp:extent cx="2461260" cy="1847215"/>
            <wp:effectExtent l="0" t="0" r="15240" b="635"/>
            <wp:docPr id="9533511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51142"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69952" cy="1853505"/>
                    </a:xfrm>
                    <a:prstGeom prst="rect">
                      <a:avLst/>
                    </a:prstGeom>
                    <a:noFill/>
                    <a:ln>
                      <a:noFill/>
                    </a:ln>
                  </pic:spPr>
                </pic:pic>
              </a:graphicData>
            </a:graphic>
          </wp:inline>
        </w:drawing>
      </w:r>
      <w:r>
        <w:rPr>
          <w:rFonts w:ascii="Times New Roman" w:hAnsi="Times New Roman" w:cs="Times New Roman"/>
        </w:rPr>
        <w:t xml:space="preserve">  </w:t>
      </w:r>
    </w:p>
    <w:p w14:paraId="2F877770">
      <w:pPr>
        <w:spacing w:line="300" w:lineRule="auto"/>
        <w:ind w:firstLine="367" w:firstLineChars="175"/>
        <w:jc w:val="center"/>
        <w:rPr>
          <w:rFonts w:ascii="Times New Roman" w:hAnsi="Times New Roman" w:cs="Times New Roman"/>
        </w:rPr>
      </w:pPr>
      <w:r>
        <w:rPr>
          <w:rFonts w:ascii="Times New Roman" w:hAnsi="Times New Roman" w:eastAsia="楷体" w:cs="Times New Roman"/>
          <w:szCs w:val="21"/>
        </w:rPr>
        <w:t>课题4土壤障碍消减与地力提升技术田间试验向日葵</w:t>
      </w:r>
      <w:r>
        <w:rPr>
          <w:rFonts w:hint="eastAsia" w:ascii="Times New Roman" w:hAnsi="Times New Roman" w:eastAsia="楷体" w:cs="Times New Roman"/>
          <w:szCs w:val="21"/>
        </w:rPr>
        <w:t>长势</w:t>
      </w:r>
      <w:r>
        <w:rPr>
          <w:rFonts w:ascii="Times New Roman" w:hAnsi="Times New Roman" w:eastAsia="楷体" w:cs="Times New Roman"/>
          <w:szCs w:val="21"/>
        </w:rPr>
        <w:t>情况</w:t>
      </w:r>
    </w:p>
    <w:p w14:paraId="0F59B7C4">
      <w:pPr>
        <w:spacing w:line="300" w:lineRule="auto"/>
        <w:ind w:firstLine="367" w:firstLineChars="175"/>
        <w:jc w:val="center"/>
        <w:rPr>
          <w:rFonts w:ascii="Times New Roman" w:hAnsi="Times New Roman" w:eastAsia="楷体" w:cs="Times New Roman"/>
          <w:szCs w:val="21"/>
        </w:rPr>
      </w:pPr>
    </w:p>
    <w:p w14:paraId="42FE1082">
      <w:pPr>
        <w:widowControl/>
        <w:ind w:firstLine="560" w:firstLineChars="200"/>
        <w:jc w:val="left"/>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信息来源：市农牧业生态与资源保护中心</w:t>
      </w:r>
    </w:p>
    <w:p w14:paraId="77CD944F">
      <w:pPr>
        <w:widowControl/>
        <w:ind w:firstLine="560" w:firstLineChars="200"/>
        <w:jc w:val="left"/>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rPr>
        <w:t xml:space="preserve">作者：糜欣苑 </w:t>
      </w:r>
    </w:p>
    <w:p w14:paraId="05E3F536">
      <w:pPr>
        <w:widowControl/>
        <w:ind w:firstLine="560" w:firstLineChars="200"/>
        <w:jc w:val="left"/>
        <w:rPr>
          <w:rFonts w:hint="eastAsia" w:ascii="Times New Roman" w:hAnsi="Times New Roman" w:eastAsia="仿宋_GB2312" w:cs="Times New Roman"/>
          <w:sz w:val="28"/>
          <w:szCs w:val="28"/>
        </w:rPr>
      </w:pPr>
      <w:r>
        <w:rPr>
          <w:rFonts w:hint="eastAsia" w:ascii="Times New Roman" w:hAnsi="Times New Roman" w:eastAsia="仿宋_GB2312" w:cs="Times New Roman"/>
          <w:sz w:val="28"/>
          <w:szCs w:val="28"/>
        </w:rPr>
        <w:t>审核：王伟妮</w:t>
      </w:r>
    </w:p>
    <w:p w14:paraId="3D2047B1">
      <w:pPr>
        <w:widowControl/>
        <w:ind w:firstLine="560" w:firstLineChars="200"/>
        <w:jc w:val="left"/>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校对：糜欣苑</w:t>
      </w:r>
    </w:p>
    <w:p w14:paraId="2DACC197">
      <w:pPr>
        <w:widowControl/>
        <w:numPr>
          <w:ilvl w:val="0"/>
          <w:numId w:val="0"/>
        </w:numPr>
        <w:jc w:val="left"/>
        <w:rPr>
          <w:rFonts w:hint="default" w:ascii="Times New Roman" w:hAnsi="Times New Roman" w:eastAsia="黑体" w:cs="Times New Roman"/>
          <w:sz w:val="28"/>
          <w:szCs w:val="28"/>
          <w:lang w:val="en-US" w:eastAsia="zh-CN"/>
        </w:rPr>
      </w:pPr>
    </w:p>
    <w:p w14:paraId="4827952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8BABED"/>
    <w:multiLevelType w:val="singleLevel"/>
    <w:tmpl w:val="788BABE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0ZmNjNDQ0OGY4OGM0Yzk2ZDY2YTExODJjNjM1ZDcifQ=="/>
  </w:docVars>
  <w:rsids>
    <w:rsidRoot w:val="381409C6"/>
    <w:rsid w:val="0E7F5F31"/>
    <w:rsid w:val="381409C6"/>
    <w:rsid w:val="54110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Default"/>
    <w:qFormat/>
    <w:uiPriority w:val="0"/>
    <w:pPr>
      <w:widowControl w:val="0"/>
      <w:autoSpaceDE w:val="0"/>
      <w:autoSpaceDN w:val="0"/>
      <w:adjustRightInd w:val="0"/>
    </w:pPr>
    <w:rPr>
      <w:rFonts w:ascii="黑体" w:hAnsi="黑体" w:cs="黑体" w:eastAsiaTheme="minorEastAsia"/>
      <w:color w:val="000000"/>
      <w:kern w:val="0"/>
      <w:sz w:val="24"/>
      <w:szCs w:val="24"/>
      <w:lang w:val="en-US" w:eastAsia="zh-CN" w:bidi="ar-SA"/>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37122;&#23572;&#22810;&#26031;&#39033;&#30446;\&#37122;&#23572;&#22810;&#26031;&#20928;&#27694;&#12289;&#20928;&#30967;&#36755;&#20837;(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37122;&#23572;&#22810;&#26031;&#39033;&#30446;\&#37122;&#23572;&#22810;&#26031;&#20928;&#27694;&#12289;&#20928;&#30967;&#36755;&#2083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91351184424"/>
          <c:y val="0.0875349257656276"/>
          <c:w val="0.832808414353437"/>
          <c:h val="0.635108612282912"/>
        </c:manualLayout>
      </c:layout>
      <c:barChart>
        <c:barDir val="col"/>
        <c:grouping val="stacked"/>
        <c:varyColors val="0"/>
        <c:ser>
          <c:idx val="0"/>
          <c:order val="0"/>
          <c:tx>
            <c:strRef>
              <c:f>NANI!$B$2</c:f>
              <c:strCache>
                <c:ptCount val="1"/>
                <c:pt idx="0">
                  <c:v>Nim[kg/(km2·a)]</c:v>
                </c:pt>
              </c:strCache>
            </c:strRef>
          </c:tx>
          <c:spPr>
            <a:solidFill>
              <a:schemeClr val="accent1"/>
            </a:solidFill>
            <a:ln>
              <a:noFill/>
            </a:ln>
            <a:effectLst/>
          </c:spPr>
          <c:invertIfNegative val="0"/>
          <c:dLbls>
            <c:delete val="1"/>
          </c:dLbls>
          <c:cat>
            <c:numRef>
              <c:f>NANI!$A$3:$A$11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NANI!$B$3:$B$11</c:f>
              <c:numCache>
                <c:formatCode>0_ </c:formatCode>
                <c:ptCount val="9"/>
                <c:pt idx="0">
                  <c:v>384.116249441772</c:v>
                </c:pt>
                <c:pt idx="1">
                  <c:v>353.813342993946</c:v>
                </c:pt>
                <c:pt idx="2">
                  <c:v>370.064198683272</c:v>
                </c:pt>
                <c:pt idx="3">
                  <c:v>329.710983586934</c:v>
                </c:pt>
                <c:pt idx="4">
                  <c:v>328.301585955763</c:v>
                </c:pt>
                <c:pt idx="5">
                  <c:v>389.146147832693</c:v>
                </c:pt>
                <c:pt idx="6">
                  <c:v>392.759733546649</c:v>
                </c:pt>
                <c:pt idx="7">
                  <c:v>394.384591791165</c:v>
                </c:pt>
                <c:pt idx="8">
                  <c:v>330.134414727423</c:v>
                </c:pt>
              </c:numCache>
            </c:numRef>
          </c:val>
        </c:ser>
        <c:ser>
          <c:idx val="1"/>
          <c:order val="1"/>
          <c:tx>
            <c:strRef>
              <c:f>NANI!$C$2</c:f>
              <c:strCache>
                <c:ptCount val="1"/>
                <c:pt idx="0">
                  <c:v>Nfer[kg/(km2·a)]</c:v>
                </c:pt>
              </c:strCache>
            </c:strRef>
          </c:tx>
          <c:spPr>
            <a:solidFill>
              <a:schemeClr val="accent2"/>
            </a:solidFill>
            <a:ln>
              <a:noFill/>
            </a:ln>
            <a:effectLst/>
          </c:spPr>
          <c:invertIfNegative val="0"/>
          <c:dLbls>
            <c:delete val="1"/>
          </c:dLbls>
          <c:cat>
            <c:numRef>
              <c:f>NANI!$A$3:$A$11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NANI!$C$3:$C$11</c:f>
              <c:numCache>
                <c:formatCode>0_ </c:formatCode>
                <c:ptCount val="9"/>
                <c:pt idx="0">
                  <c:v>750.588729541217</c:v>
                </c:pt>
                <c:pt idx="1">
                  <c:v>722.874128127806</c:v>
                </c:pt>
                <c:pt idx="2">
                  <c:v>737.68041711747</c:v>
                </c:pt>
                <c:pt idx="3">
                  <c:v>837.810478580143</c:v>
                </c:pt>
                <c:pt idx="4">
                  <c:v>715.152735894662</c:v>
                </c:pt>
                <c:pt idx="5">
                  <c:v>738.933841301996</c:v>
                </c:pt>
                <c:pt idx="6">
                  <c:v>650.797633571971</c:v>
                </c:pt>
                <c:pt idx="7">
                  <c:v>632.747864920237</c:v>
                </c:pt>
                <c:pt idx="8">
                  <c:v>609.961787251675</c:v>
                </c:pt>
              </c:numCache>
            </c:numRef>
          </c:val>
        </c:ser>
        <c:ser>
          <c:idx val="2"/>
          <c:order val="2"/>
          <c:tx>
            <c:strRef>
              <c:f>NANI!$D$2</c:f>
              <c:strCache>
                <c:ptCount val="1"/>
                <c:pt idx="0">
                  <c:v>Ncro[kg/(km2·a)]</c:v>
                </c:pt>
              </c:strCache>
            </c:strRef>
          </c:tx>
          <c:spPr>
            <a:solidFill>
              <a:schemeClr val="accent3"/>
            </a:solidFill>
            <a:ln>
              <a:noFill/>
            </a:ln>
            <a:effectLst/>
          </c:spPr>
          <c:invertIfNegative val="0"/>
          <c:dLbls>
            <c:delete val="1"/>
          </c:dLbls>
          <c:cat>
            <c:numRef>
              <c:f>NANI!$A$3:$A$11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NANI!$D$3:$D$11</c:f>
              <c:numCache>
                <c:formatCode>0_ </c:formatCode>
                <c:ptCount val="9"/>
                <c:pt idx="0">
                  <c:v>39.8713197210009</c:v>
                </c:pt>
                <c:pt idx="1">
                  <c:v>41.6714624433139</c:v>
                </c:pt>
                <c:pt idx="2">
                  <c:v>43.4083009138832</c:v>
                </c:pt>
                <c:pt idx="3">
                  <c:v>45.0438525816625</c:v>
                </c:pt>
                <c:pt idx="4">
                  <c:v>47.3722980594369</c:v>
                </c:pt>
                <c:pt idx="5">
                  <c:v>46.4169793513041</c:v>
                </c:pt>
                <c:pt idx="6">
                  <c:v>54.4807900370618</c:v>
                </c:pt>
                <c:pt idx="7">
                  <c:v>60.7997053474828</c:v>
                </c:pt>
                <c:pt idx="8">
                  <c:v>60.7743836467853</c:v>
                </c:pt>
              </c:numCache>
            </c:numRef>
          </c:val>
        </c:ser>
        <c:ser>
          <c:idx val="3"/>
          <c:order val="3"/>
          <c:tx>
            <c:strRef>
              <c:f>NANI!$E$2</c:f>
              <c:strCache>
                <c:ptCount val="1"/>
                <c:pt idx="0">
                  <c:v>Ndep[kg/(km2·a)]</c:v>
                </c:pt>
              </c:strCache>
            </c:strRef>
          </c:tx>
          <c:spPr>
            <a:solidFill>
              <a:schemeClr val="accent4"/>
            </a:solidFill>
            <a:ln>
              <a:noFill/>
            </a:ln>
            <a:effectLst/>
          </c:spPr>
          <c:invertIfNegative val="0"/>
          <c:dLbls>
            <c:delete val="1"/>
          </c:dLbls>
          <c:cat>
            <c:numRef>
              <c:f>NANI!$A$3:$A$11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NANI!$E$3:$E$11</c:f>
              <c:numCache>
                <c:formatCode>0_ </c:formatCode>
                <c:ptCount val="9"/>
                <c:pt idx="0">
                  <c:v>90.47801843</c:v>
                </c:pt>
                <c:pt idx="1">
                  <c:v>90.47801843</c:v>
                </c:pt>
                <c:pt idx="2">
                  <c:v>90.47801843</c:v>
                </c:pt>
                <c:pt idx="3">
                  <c:v>90.47801843</c:v>
                </c:pt>
                <c:pt idx="4">
                  <c:v>90.47801843</c:v>
                </c:pt>
                <c:pt idx="5">
                  <c:v>90.47801843</c:v>
                </c:pt>
                <c:pt idx="6">
                  <c:v>90.47801843</c:v>
                </c:pt>
                <c:pt idx="7">
                  <c:v>90.47801843</c:v>
                </c:pt>
                <c:pt idx="8">
                  <c:v>90.47801843</c:v>
                </c:pt>
              </c:numCache>
            </c:numRef>
          </c:val>
        </c:ser>
        <c:dLbls>
          <c:showLegendKey val="0"/>
          <c:showVal val="0"/>
          <c:showCatName val="0"/>
          <c:showSerName val="0"/>
          <c:showPercent val="0"/>
          <c:showBubbleSize val="0"/>
        </c:dLbls>
        <c:gapWidth val="219"/>
        <c:overlap val="100"/>
        <c:axId val="651634079"/>
        <c:axId val="651634495"/>
      </c:barChart>
      <c:lineChart>
        <c:grouping val="standard"/>
        <c:varyColors val="0"/>
        <c:ser>
          <c:idx val="4"/>
          <c:order val="4"/>
          <c:tx>
            <c:strRef>
              <c:f>NANI!$F$2</c:f>
              <c:strCache>
                <c:ptCount val="1"/>
                <c:pt idx="0">
                  <c:v>NANI[kg/(km2·a)]</c:v>
                </c:pt>
              </c:strCache>
            </c:strRef>
          </c:tx>
          <c:spPr>
            <a:ln w="28575" cap="rnd">
              <a:solidFill>
                <a:schemeClr val="accent5"/>
              </a:solidFill>
              <a:round/>
            </a:ln>
            <a:effectLst/>
          </c:spPr>
          <c:marker>
            <c:symbol val="none"/>
          </c:marker>
          <c:dLbls>
            <c:delete val="1"/>
          </c:dLbls>
          <c:cat>
            <c:numRef>
              <c:f>NANI!$A$3:$A$11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NANI!$F$3:$F$11</c:f>
              <c:numCache>
                <c:formatCode>0_ </c:formatCode>
                <c:ptCount val="9"/>
                <c:pt idx="0">
                  <c:v>1265.05431713399</c:v>
                </c:pt>
                <c:pt idx="1">
                  <c:v>1208.83695199507</c:v>
                </c:pt>
                <c:pt idx="2">
                  <c:v>1241.63093514462</c:v>
                </c:pt>
                <c:pt idx="3">
                  <c:v>1303.04333317874</c:v>
                </c:pt>
                <c:pt idx="4">
                  <c:v>1181.30463833986</c:v>
                </c:pt>
                <c:pt idx="5">
                  <c:v>1264.97498691599</c:v>
                </c:pt>
                <c:pt idx="6">
                  <c:v>1188.51617558568</c:v>
                </c:pt>
                <c:pt idx="7">
                  <c:v>1178.41018048888</c:v>
                </c:pt>
                <c:pt idx="8">
                  <c:v>1091.34860405588</c:v>
                </c:pt>
              </c:numCache>
            </c:numRef>
          </c:val>
          <c:smooth val="0"/>
        </c:ser>
        <c:dLbls>
          <c:showLegendKey val="0"/>
          <c:showVal val="0"/>
          <c:showCatName val="0"/>
          <c:showSerName val="0"/>
          <c:showPercent val="0"/>
          <c:showBubbleSize val="0"/>
        </c:dLbls>
        <c:marker val="0"/>
        <c:smooth val="0"/>
        <c:axId val="651634079"/>
        <c:axId val="651634495"/>
      </c:lineChart>
      <c:catAx>
        <c:axId val="651634079"/>
        <c:scaling>
          <c:orientation val="minMax"/>
        </c:scaling>
        <c:delete val="0"/>
        <c:axPos val="b"/>
        <c:title>
          <c:tx>
            <c:rich>
              <a:bodyPr rot="0" spcFirstLastPara="1" vertOverflow="ellipsis" vert="horz" wrap="square" anchor="ctr" anchorCtr="1"/>
              <a:lstStyle/>
              <a:p>
                <a:pPr algn="ctr" rtl="0">
                  <a:defRPr lang="en-US" alt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zh-CN"/>
                  <a:t>年份</a:t>
                </a:r>
                <a:endParaRPr lang="zh-CN"/>
              </a:p>
            </c:rich>
          </c:tx>
          <c:layout/>
          <c:overlay val="0"/>
          <c:spPr>
            <a:noFill/>
            <a:ln>
              <a:noFill/>
            </a:ln>
            <a:effectLst/>
          </c:spPr>
        </c:title>
        <c:numFmt formatCode="0_);[Red]\(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en-US" alt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651634495"/>
        <c:crosses val="autoZero"/>
        <c:auto val="1"/>
        <c:lblAlgn val="ctr"/>
        <c:lblOffset val="100"/>
        <c:noMultiLvlLbl val="0"/>
      </c:catAx>
      <c:valAx>
        <c:axId val="651634495"/>
        <c:scaling>
          <c:orientation val="minMax"/>
        </c:scaling>
        <c:delete val="0"/>
        <c:axPos val="l"/>
        <c:title>
          <c:tx>
            <c:rich>
              <a:bodyPr rot="-5400000" spcFirstLastPara="1" vertOverflow="ellipsis" vert="horz" wrap="square" anchor="ctr" anchorCtr="1"/>
              <a:lstStyle/>
              <a:p>
                <a:pPr algn="ctr" rtl="0">
                  <a:defRPr lang="en-US" alt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zh-CN" dirty="0"/>
                  <a:t>输入量[(kg/km2·a)]</a:t>
                </a:r>
                <a:endParaRPr lang="zh-CN" dirty="0"/>
              </a:p>
            </c:rich>
          </c:tx>
          <c:layout>
            <c:manualLayout>
              <c:xMode val="edge"/>
              <c:yMode val="edge"/>
              <c:x val="0.0279530433680554"/>
              <c:y val="0.273609132745302"/>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lgn="ctr">
              <a:defRPr lang="en-US" altLang="zh-CN"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651634079"/>
        <c:crosses val="autoZero"/>
        <c:crossBetween val="between"/>
      </c:valAx>
      <c:spPr>
        <a:noFill/>
        <a:ln>
          <a:solidFill>
            <a:sysClr val="windowText" lastClr="000000"/>
          </a:solidFill>
        </a:ln>
        <a:effectLst/>
      </c:spPr>
    </c:plotArea>
    <c:legend>
      <c:legendPos val="b"/>
      <c:layout>
        <c:manualLayout>
          <c:xMode val="edge"/>
          <c:yMode val="edge"/>
          <c:x val="0.203893780274382"/>
          <c:y val="0.842447131978305"/>
          <c:w val="0.651668145535397"/>
          <c:h val="0.1314612666411"/>
        </c:manualLayout>
      </c:layout>
      <c:overlay val="0"/>
      <c:spPr>
        <a:noFill/>
        <a:ln>
          <a:noFill/>
        </a:ln>
        <a:effectLst/>
      </c:spPr>
      <c:txPr>
        <a:bodyPr rot="0" spcFirstLastPara="1" vertOverflow="ellipsis" vert="horz" wrap="square" anchor="ctr" anchorCtr="1"/>
        <a:lstStyle/>
        <a:p>
          <a:pPr algn="ctr">
            <a:defRPr lang="en-US" alt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US" alt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54451700612"/>
          <c:y val="0.0710174027831386"/>
          <c:w val="0.813216030551069"/>
          <c:h val="0.707755327734468"/>
        </c:manualLayout>
      </c:layout>
      <c:barChart>
        <c:barDir val="col"/>
        <c:grouping val="clustered"/>
        <c:varyColors val="0"/>
        <c:ser>
          <c:idx val="0"/>
          <c:order val="0"/>
          <c:tx>
            <c:strRef>
              <c:f>NAPI!$B$2</c:f>
              <c:strCache>
                <c:ptCount val="1"/>
                <c:pt idx="0">
                  <c:v>Pim[kg/(km2·a)]</c:v>
                </c:pt>
              </c:strCache>
            </c:strRef>
          </c:tx>
          <c:spPr>
            <a:solidFill>
              <a:schemeClr val="accent1"/>
            </a:solidFill>
            <a:ln>
              <a:noFill/>
            </a:ln>
            <a:effectLst/>
          </c:spPr>
          <c:invertIfNegative val="0"/>
          <c:dLbls>
            <c:delete val="1"/>
          </c:dLbls>
          <c:cat>
            <c:numRef>
              <c:f>NAPI!$A$3:$A$11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NAPI!$B$3:$B$11</c:f>
              <c:numCache>
                <c:formatCode>0_ </c:formatCode>
                <c:ptCount val="9"/>
                <c:pt idx="0">
                  <c:v>132.515014648604</c:v>
                </c:pt>
                <c:pt idx="1">
                  <c:v>128.23292086393</c:v>
                </c:pt>
                <c:pt idx="2">
                  <c:v>128.383702635759</c:v>
                </c:pt>
                <c:pt idx="3">
                  <c:v>123.127791102875</c:v>
                </c:pt>
                <c:pt idx="4">
                  <c:v>121.710684592018</c:v>
                </c:pt>
                <c:pt idx="5">
                  <c:v>135.521623880666</c:v>
                </c:pt>
                <c:pt idx="6">
                  <c:v>138.465849340485</c:v>
                </c:pt>
                <c:pt idx="7">
                  <c:v>146.413161299233</c:v>
                </c:pt>
                <c:pt idx="8">
                  <c:v>134.520030352649</c:v>
                </c:pt>
              </c:numCache>
            </c:numRef>
          </c:val>
        </c:ser>
        <c:ser>
          <c:idx val="1"/>
          <c:order val="1"/>
          <c:tx>
            <c:strRef>
              <c:f>NAPI!$C$2</c:f>
              <c:strCache>
                <c:ptCount val="1"/>
                <c:pt idx="0">
                  <c:v>Pfer[kg/(km2·a)]</c:v>
                </c:pt>
              </c:strCache>
            </c:strRef>
          </c:tx>
          <c:spPr>
            <a:solidFill>
              <a:schemeClr val="accent2"/>
            </a:solidFill>
            <a:ln>
              <a:noFill/>
            </a:ln>
            <a:effectLst/>
          </c:spPr>
          <c:invertIfNegative val="0"/>
          <c:dLbls>
            <c:delete val="1"/>
          </c:dLbls>
          <c:cat>
            <c:numRef>
              <c:f>NAPI!$A$3:$A$11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NAPI!$C$3:$C$11</c:f>
              <c:numCache>
                <c:formatCode>0_ </c:formatCode>
                <c:ptCount val="9"/>
                <c:pt idx="0">
                  <c:v>305.143412904859</c:v>
                </c:pt>
                <c:pt idx="1">
                  <c:v>276.343201123363</c:v>
                </c:pt>
                <c:pt idx="2">
                  <c:v>291.931240072742</c:v>
                </c:pt>
                <c:pt idx="3">
                  <c:v>358.353513961465</c:v>
                </c:pt>
                <c:pt idx="4">
                  <c:v>401.312354687968</c:v>
                </c:pt>
                <c:pt idx="5">
                  <c:v>468.920950254368</c:v>
                </c:pt>
                <c:pt idx="6">
                  <c:v>472.501553831634</c:v>
                </c:pt>
                <c:pt idx="7">
                  <c:v>388.47079947515</c:v>
                </c:pt>
                <c:pt idx="8">
                  <c:v>441.14615225248</c:v>
                </c:pt>
              </c:numCache>
            </c:numRef>
          </c:val>
        </c:ser>
        <c:ser>
          <c:idx val="2"/>
          <c:order val="2"/>
          <c:tx>
            <c:strRef>
              <c:f>NAPI!$D$2</c:f>
              <c:strCache>
                <c:ptCount val="1"/>
                <c:pt idx="0">
                  <c:v>Pnf[kg/(km2·a)]</c:v>
                </c:pt>
              </c:strCache>
            </c:strRef>
          </c:tx>
          <c:spPr>
            <a:solidFill>
              <a:schemeClr val="accent3"/>
            </a:solidFill>
            <a:ln>
              <a:noFill/>
            </a:ln>
            <a:effectLst/>
          </c:spPr>
          <c:invertIfNegative val="0"/>
          <c:dLbls>
            <c:delete val="1"/>
          </c:dLbls>
          <c:cat>
            <c:numRef>
              <c:f>NAPI!$A$3:$A$11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NAPI!$D$3:$D$11</c:f>
              <c:numCache>
                <c:formatCode>0_ </c:formatCode>
                <c:ptCount val="9"/>
                <c:pt idx="0">
                  <c:v>3.06323519256002</c:v>
                </c:pt>
                <c:pt idx="1">
                  <c:v>3.10875670449575</c:v>
                </c:pt>
                <c:pt idx="2">
                  <c:v>3.14017863308856</c:v>
                </c:pt>
                <c:pt idx="3">
                  <c:v>3.16878064501278</c:v>
                </c:pt>
                <c:pt idx="4">
                  <c:v>3.21148224027992</c:v>
                </c:pt>
                <c:pt idx="5">
                  <c:v>3.24008425220414</c:v>
                </c:pt>
                <c:pt idx="6">
                  <c:v>3.26848484150917</c:v>
                </c:pt>
                <c:pt idx="7">
                  <c:v>3.29325982366888</c:v>
                </c:pt>
                <c:pt idx="8">
                  <c:v>3.31199212725306</c:v>
                </c:pt>
              </c:numCache>
            </c:numRef>
          </c:val>
        </c:ser>
        <c:dLbls>
          <c:showLegendKey val="0"/>
          <c:showVal val="0"/>
          <c:showCatName val="0"/>
          <c:showSerName val="0"/>
          <c:showPercent val="0"/>
          <c:showBubbleSize val="0"/>
        </c:dLbls>
        <c:gapWidth val="219"/>
        <c:axId val="741689743"/>
        <c:axId val="741690159"/>
      </c:barChart>
      <c:lineChart>
        <c:grouping val="standard"/>
        <c:varyColors val="0"/>
        <c:ser>
          <c:idx val="3"/>
          <c:order val="3"/>
          <c:tx>
            <c:strRef>
              <c:f>NAPI!$E$2</c:f>
              <c:strCache>
                <c:ptCount val="1"/>
                <c:pt idx="0">
                  <c:v>NAPI[kg /(km2·a)]</c:v>
                </c:pt>
              </c:strCache>
            </c:strRef>
          </c:tx>
          <c:spPr>
            <a:ln w="28575" cap="rnd">
              <a:solidFill>
                <a:schemeClr val="accent4"/>
              </a:solidFill>
              <a:round/>
            </a:ln>
            <a:effectLst/>
          </c:spPr>
          <c:marker>
            <c:symbol val="none"/>
          </c:marker>
          <c:dLbls>
            <c:delete val="1"/>
          </c:dLbls>
          <c:cat>
            <c:numRef>
              <c:f>NAPI!$A$3:$A$11</c:f>
              <c:numCache>
                <c:formatCode>0_);[Red]\(0\)</c:formatCode>
                <c:ptCount val="9"/>
                <c:pt idx="0" c:formatCode="0_);[Red]\(0\)">
                  <c:v>2012</c:v>
                </c:pt>
                <c:pt idx="1" c:formatCode="0_);[Red]\(0\)">
                  <c:v>2013</c:v>
                </c:pt>
                <c:pt idx="2" c:formatCode="0_);[Red]\(0\)">
                  <c:v>2014</c:v>
                </c:pt>
                <c:pt idx="3" c:formatCode="0_);[Red]\(0\)">
                  <c:v>2015</c:v>
                </c:pt>
                <c:pt idx="4" c:formatCode="0_);[Red]\(0\)">
                  <c:v>2016</c:v>
                </c:pt>
                <c:pt idx="5" c:formatCode="0_);[Red]\(0\)">
                  <c:v>2017</c:v>
                </c:pt>
                <c:pt idx="6" c:formatCode="0_);[Red]\(0\)">
                  <c:v>2018</c:v>
                </c:pt>
                <c:pt idx="7" c:formatCode="0_);[Red]\(0\)">
                  <c:v>2019</c:v>
                </c:pt>
                <c:pt idx="8" c:formatCode="0_);[Red]\(0\)">
                  <c:v>2020</c:v>
                </c:pt>
              </c:numCache>
            </c:numRef>
          </c:cat>
          <c:val>
            <c:numRef>
              <c:f>NAPI!$E$3:$E$11</c:f>
              <c:numCache>
                <c:formatCode>0_ </c:formatCode>
                <c:ptCount val="9"/>
                <c:pt idx="0">
                  <c:v>440.721662746023</c:v>
                </c:pt>
                <c:pt idx="1">
                  <c:v>407.684878691789</c:v>
                </c:pt>
                <c:pt idx="2">
                  <c:v>423.45512134159</c:v>
                </c:pt>
                <c:pt idx="3">
                  <c:v>484.650085709353</c:v>
                </c:pt>
                <c:pt idx="4">
                  <c:v>526.234521520266</c:v>
                </c:pt>
                <c:pt idx="5">
                  <c:v>607.682658387238</c:v>
                </c:pt>
                <c:pt idx="6">
                  <c:v>614.235888013628</c:v>
                </c:pt>
                <c:pt idx="7">
                  <c:v>538.177220598053</c:v>
                </c:pt>
                <c:pt idx="8">
                  <c:v>578.978174732383</c:v>
                </c:pt>
              </c:numCache>
            </c:numRef>
          </c:val>
          <c:smooth val="0"/>
        </c:ser>
        <c:dLbls>
          <c:showLegendKey val="0"/>
          <c:showVal val="0"/>
          <c:showCatName val="0"/>
          <c:showSerName val="0"/>
          <c:showPercent val="0"/>
          <c:showBubbleSize val="0"/>
        </c:dLbls>
        <c:marker val="0"/>
        <c:smooth val="0"/>
        <c:axId val="741689743"/>
        <c:axId val="741690159"/>
      </c:lineChart>
      <c:catAx>
        <c:axId val="741689743"/>
        <c:scaling>
          <c:orientation val="minMax"/>
        </c:scaling>
        <c:delete val="0"/>
        <c:axPos val="b"/>
        <c:title>
          <c:tx>
            <c:rich>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r>
                  <a:rPr lang="zh-CN" altLang="en-US">
                    <a:solidFill>
                      <a:sysClr val="windowText" lastClr="000000"/>
                    </a:solidFill>
                  </a:rPr>
                  <a:t>年份</a:t>
                </a:r>
                <a:endParaRPr lang="zh-CN" altLang="en-US">
                  <a:solidFill>
                    <a:sysClr val="windowText" lastClr="000000"/>
                  </a:solidFill>
                </a:endParaRPr>
              </a:p>
            </c:rich>
          </c:tx>
          <c:layout/>
          <c:overlay val="0"/>
          <c:spPr>
            <a:noFill/>
            <a:ln>
              <a:noFill/>
            </a:ln>
            <a:effectLst/>
          </c:spPr>
        </c:title>
        <c:numFmt formatCode="0_);[Red]\(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741690159"/>
        <c:crosses val="autoZero"/>
        <c:auto val="1"/>
        <c:lblAlgn val="ctr"/>
        <c:lblOffset val="100"/>
        <c:noMultiLvlLbl val="0"/>
      </c:catAx>
      <c:valAx>
        <c:axId val="741690159"/>
        <c:scaling>
          <c:orientation val="minMax"/>
        </c:scaling>
        <c:delete val="0"/>
        <c:axPos val="l"/>
        <c:title>
          <c:tx>
            <c:rich>
              <a:bodyPr rot="-5400000" spcFirstLastPara="1" vertOverflow="ellipsis" vert="horz" wrap="square" anchor="ctr" anchorCtr="1"/>
              <a:lstStyle/>
              <a:p>
                <a:pPr algn="ctr" rtl="0">
                  <a:defRPr lang="zh-CN" altLang="en-US" sz="10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zh-CN" altLang="en-US" sz="1000" b="0" i="0" u="none" strike="noStrike" kern="1200" baseline="0">
                    <a:solidFill>
                      <a:sysClr val="windowText" lastClr="000000"/>
                    </a:solidFill>
                    <a:latin typeface="Times New Roman" panose="02020603050405020304" charset="0"/>
                    <a:ea typeface="+mn-ea"/>
                    <a:cs typeface="Times New Roman" panose="02020603050405020304" charset="0"/>
                  </a:rPr>
                  <a:t>输入量[(kg/km2·a)]</a:t>
                </a:r>
                <a:endParaRPr lang="zh-CN" altLang="en-US" sz="1000" b="0" i="0" u="none" strike="noStrike" kern="1200" baseline="0">
                  <a:solidFill>
                    <a:sysClr val="windowText" lastClr="000000"/>
                  </a:solidFill>
                  <a:latin typeface="Times New Roman" panose="02020603050405020304" charset="0"/>
                  <a:ea typeface="+mn-ea"/>
                  <a:cs typeface="Times New Roman" panose="02020603050405020304" charset="0"/>
                </a:endParaRPr>
              </a:p>
            </c:rich>
          </c:tx>
          <c:layout>
            <c:manualLayout>
              <c:xMode val="edge"/>
              <c:yMode val="edge"/>
              <c:x val="0.031293858330962"/>
              <c:y val="0.267254866136626"/>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741689743"/>
        <c:crosses val="autoZero"/>
        <c:crossBetween val="between"/>
      </c:valAx>
      <c:spPr>
        <a:noFill/>
        <a:ln>
          <a:solidFill>
            <a:sysClr val="windowText" lastClr="000000"/>
          </a:solidFill>
        </a:ln>
        <a:effectLst/>
      </c:spPr>
    </c:plotArea>
    <c:legend>
      <c:legendPos val="b"/>
      <c:layout>
        <c:manualLayout>
          <c:xMode val="edge"/>
          <c:yMode val="edge"/>
          <c:x val="0.0330856134600921"/>
          <c:y val="0.89538970836454"/>
          <c:w val="0.899999960043058"/>
          <c:h val="0.069584887415388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1015</Words>
  <Characters>1038</Characters>
  <Lines>0</Lines>
  <Paragraphs>0</Paragraphs>
  <TotalTime>0</TotalTime>
  <ScaleCrop>false</ScaleCrop>
  <LinksUpToDate>false</LinksUpToDate>
  <CharactersWithSpaces>1080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2024-08-12T07:13:00Z</dcterms:created>
  <dc:creator>Rebecca</dc:creator>
  <cp:lastModifiedBy>Rebecca</cp:lastModifiedBy>
  <dcterms:modified xsi:type="dcterms:W3CDTF">2024-08-12T08:55:28Z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50A01BC8C7ED41A8AA1E47552A2586FC_13</vt:lpwstr>
  </property>
</Properties>
</file>