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附件</w:t>
      </w:r>
    </w:p>
    <w:p>
      <w:pPr>
        <w:widowControl/>
        <w:spacing w:after="156" w:afterLines="50" w:line="360" w:lineRule="exact"/>
        <w:jc w:val="center"/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000000"/>
          <w:kern w:val="0"/>
          <w:sz w:val="32"/>
          <w:szCs w:val="32"/>
        </w:rPr>
        <w:t>鄂尔多斯市农牧局专题民主生活会征求意见表</w:t>
      </w:r>
      <w:bookmarkEnd w:id="0"/>
    </w:p>
    <w:p>
      <w:pPr>
        <w:widowControl/>
        <w:spacing w:after="156" w:afterLines="50" w:line="36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被访问人身份：□基层扶贫工作人员  □贫困户  □脱贫户  □普通农牧民</w:t>
      </w:r>
    </w:p>
    <w:tbl>
      <w:tblPr>
        <w:tblStyle w:val="3"/>
        <w:tblW w:w="14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0"/>
        <w:gridCol w:w="1080"/>
        <w:gridCol w:w="1080"/>
        <w:gridCol w:w="1080"/>
        <w:gridCol w:w="3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内容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评价</w:t>
            </w:r>
          </w:p>
        </w:tc>
        <w:tc>
          <w:tcPr>
            <w:tcW w:w="3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意见建议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7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较好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一般</w:t>
            </w:r>
          </w:p>
        </w:tc>
        <w:tc>
          <w:tcPr>
            <w:tcW w:w="3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7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1.建立贫困户产业发展指导员制度，指导贫困户科学选择产业，强化产业发展后续服务，通过多种方式，提高贫困户生产发展能力。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7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加大新型经营主体培育力度，着力培育农牧业龙头企业、专业合作社、家庭农牧场等新型经营主体，增强新型经营主体辐射带动能力；深入实施优势特色产业提升工程，打造农畜产品区域公用品牌，制定出台全市加强产业扶贫政策措施，围绕实施乡村振兴战略，立足资源优势和产业发展优势，发展区域产业、特色产业，抓村带户，整体推进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7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积极推广股份合作、订单合同、服务协作、流转聘用、“企业+党支部+合作组织+农牧户”等产业扶贫模式和有效做法，加大宣传和培训力度，充分利用各种媒体进行典型案例宣传，对龙头企业进行政策的讲解，使龙头企业更加自觉的在生产经营中密切与农牧民的利益联结，实现贫困户与现代农牧业发展有机衔接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7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4.指导做好产业发展后续服务，组建农牧业农村牧区科技服务工作队，加大技术指导，提高贫困户运用科技能力，促进农牧业生产提质增收。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240" w:lineRule="atLeast"/>
        <w:ind w:firstLine="480" w:firstLineChars="200"/>
        <w:jc w:val="left"/>
        <w:rPr>
          <w:rFonts w:hint="eastAsia" w:ascii="仿宋_GB2312" w:hAnsi="仿宋" w:eastAsia="仿宋_GB2312"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color w:val="000000"/>
          <w:sz w:val="24"/>
          <w:szCs w:val="24"/>
        </w:rPr>
        <w:t>1.请在你认为等次的下方划√，每项中只在好、较好、一般三个等次选一项，否则计为废票；</w:t>
      </w:r>
    </w:p>
    <w:p>
      <w:pPr>
        <w:spacing w:line="240" w:lineRule="atLeast"/>
        <w:ind w:firstLine="480" w:firstLineChars="200"/>
        <w:jc w:val="left"/>
      </w:pPr>
      <w:r>
        <w:rPr>
          <w:rFonts w:hint="eastAsia" w:ascii="仿宋_GB2312" w:hAnsi="仿宋" w:eastAsia="仿宋_GB2312"/>
          <w:color w:val="000000"/>
          <w:sz w:val="24"/>
          <w:szCs w:val="24"/>
        </w:rPr>
        <w:t>2.请在相应的空格内填写意见建议，如内容较多，可另附页。</w:t>
      </w:r>
    </w:p>
    <w:sectPr>
      <w:pgSz w:w="16840" w:h="11907" w:orient="landscape"/>
      <w:pgMar w:top="1797" w:right="1440" w:bottom="11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2019-03-21T10:18:21Z</dcterms:created>
  <dc:creator>ASUS</dc:creator>
  <cp:lastModifiedBy>海瑞科技--郝建南</cp:lastModifiedBy>
  <dcterms:modified xsi:type="dcterms:W3CDTF">2019-03-21T10:18:29Z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